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98FF1" w14:textId="77777777" w:rsidR="00AD5525" w:rsidRPr="000010A7" w:rsidRDefault="00AD5525">
      <w:pPr>
        <w:pStyle w:val="Heading2"/>
      </w:pPr>
      <w:proofErr w:type="gramStart"/>
      <w:r w:rsidRPr="000010A7">
        <w:t>Chapter 5.</w:t>
      </w:r>
      <w:proofErr w:type="gramEnd"/>
      <w:r w:rsidRPr="000010A7">
        <w:t xml:space="preserve">  Evaluating Evidence and Making a Decision</w:t>
      </w:r>
    </w:p>
    <w:p w14:paraId="4633E30C" w14:textId="77777777" w:rsidR="00AD5525" w:rsidRPr="000010A7" w:rsidRDefault="00AD5525">
      <w:pPr>
        <w:pStyle w:val="Heading4"/>
      </w:pPr>
      <w:r w:rsidRPr="000010A7">
        <w:t>1.  Guidelines for Evaluating Evidence</w:t>
      </w:r>
    </w:p>
    <w:p w14:paraId="4F9A1CAC" w14:textId="77777777" w:rsidR="00AD5525" w:rsidRPr="000010A7" w:rsidRDefault="00AD5525">
      <w:pPr>
        <w:pStyle w:val="BlockLine"/>
      </w:pPr>
    </w:p>
    <w:tbl>
      <w:tblPr>
        <w:tblW w:w="0" w:type="auto"/>
        <w:tblLayout w:type="fixed"/>
        <w:tblLook w:val="0000" w:firstRow="0" w:lastRow="0" w:firstColumn="0" w:lastColumn="0" w:noHBand="0" w:noVBand="0"/>
      </w:tblPr>
      <w:tblGrid>
        <w:gridCol w:w="1728"/>
        <w:gridCol w:w="7740"/>
      </w:tblGrid>
      <w:tr w:rsidR="00AD5525" w:rsidRPr="000010A7" w14:paraId="377ECCB7" w14:textId="77777777" w:rsidTr="001B1806">
        <w:trPr>
          <w:cantSplit/>
        </w:trPr>
        <w:tc>
          <w:tcPr>
            <w:tcW w:w="1728" w:type="dxa"/>
            <w:shd w:val="clear" w:color="auto" w:fill="auto"/>
          </w:tcPr>
          <w:p w14:paraId="664AE01A" w14:textId="77777777" w:rsidR="00AD5525" w:rsidRPr="000010A7" w:rsidRDefault="00AD5525">
            <w:pPr>
              <w:pStyle w:val="Heading5"/>
            </w:pPr>
            <w:r w:rsidRPr="000010A7">
              <w:t>Introduction</w:t>
            </w:r>
          </w:p>
        </w:tc>
        <w:tc>
          <w:tcPr>
            <w:tcW w:w="7740" w:type="dxa"/>
            <w:shd w:val="clear" w:color="auto" w:fill="auto"/>
          </w:tcPr>
          <w:p w14:paraId="61843BAE" w14:textId="77777777" w:rsidR="00AD5525" w:rsidRPr="000010A7" w:rsidRDefault="00AD5525" w:rsidP="001B1806">
            <w:pPr>
              <w:pStyle w:val="BlockText"/>
            </w:pPr>
            <w:r w:rsidRPr="000010A7">
              <w:t>This topic includes information about the guidelines for evaluating evidence, including</w:t>
            </w:r>
          </w:p>
          <w:p w14:paraId="28F2742E" w14:textId="77777777" w:rsidR="00AD5525" w:rsidRPr="000010A7" w:rsidRDefault="00AD5525" w:rsidP="001B1806">
            <w:pPr>
              <w:pStyle w:val="BlockText"/>
            </w:pPr>
          </w:p>
          <w:p w14:paraId="785FC6C0" w14:textId="77777777" w:rsidR="00263709" w:rsidRPr="000010A7" w:rsidRDefault="00263709">
            <w:pPr>
              <w:pStyle w:val="BulletText1"/>
            </w:pPr>
            <w:r w:rsidRPr="000010A7">
              <w:t>definition of evidence</w:t>
            </w:r>
          </w:p>
          <w:p w14:paraId="0D589CE1" w14:textId="77777777" w:rsidR="00263709" w:rsidRPr="000010A7" w:rsidRDefault="00263709">
            <w:pPr>
              <w:pStyle w:val="BulletText1"/>
            </w:pPr>
            <w:r w:rsidRPr="000010A7">
              <w:t>definition of rules of evidence</w:t>
            </w:r>
          </w:p>
          <w:p w14:paraId="1B871139" w14:textId="77777777" w:rsidR="00263709" w:rsidRPr="000010A7" w:rsidRDefault="008A40FA">
            <w:pPr>
              <w:pStyle w:val="BulletText1"/>
            </w:pPr>
            <w:r w:rsidRPr="000010A7">
              <w:t xml:space="preserve">definitions of </w:t>
            </w:r>
            <w:r w:rsidR="00263709" w:rsidRPr="000010A7">
              <w:t>findings of fact and conclusions of law</w:t>
            </w:r>
          </w:p>
          <w:p w14:paraId="27AC7500" w14:textId="77777777" w:rsidR="00B02202" w:rsidRPr="000010A7" w:rsidRDefault="0031140B">
            <w:pPr>
              <w:pStyle w:val="BulletText1"/>
            </w:pPr>
            <w:r w:rsidRPr="000010A7">
              <w:t>circumstances in which to evaluate evidence</w:t>
            </w:r>
          </w:p>
          <w:p w14:paraId="186F9775" w14:textId="6CDB3B34" w:rsidR="00AD5525" w:rsidRPr="000010A7" w:rsidRDefault="002A5497">
            <w:pPr>
              <w:pStyle w:val="BulletText1"/>
            </w:pPr>
            <w:r w:rsidRPr="000010A7">
              <w:t>attitude</w:t>
            </w:r>
            <w:r w:rsidR="00AD5525" w:rsidRPr="000010A7">
              <w:t xml:space="preserve"> when evaluating evidence</w:t>
            </w:r>
          </w:p>
          <w:p w14:paraId="0C121616" w14:textId="77777777" w:rsidR="00714726" w:rsidRPr="000010A7" w:rsidRDefault="00714726">
            <w:pPr>
              <w:pStyle w:val="BulletText1"/>
            </w:pPr>
            <w:r w:rsidRPr="000010A7">
              <w:t>overview of evaluating evidence</w:t>
            </w:r>
          </w:p>
          <w:p w14:paraId="2CE5EE69" w14:textId="77777777" w:rsidR="00C530C4" w:rsidRPr="000010A7" w:rsidRDefault="00C530C4">
            <w:pPr>
              <w:pStyle w:val="BulletText1"/>
            </w:pPr>
            <w:r w:rsidRPr="000010A7">
              <w:t>Rating Veterans Service Representative (RVSR) responsibility for reviewing evidence</w:t>
            </w:r>
          </w:p>
          <w:p w14:paraId="0BF7F043" w14:textId="17000C90" w:rsidR="00CD44C0" w:rsidRPr="000010A7" w:rsidRDefault="00AD5525" w:rsidP="00AC1044">
            <w:pPr>
              <w:pStyle w:val="BulletText1"/>
            </w:pPr>
            <w:r w:rsidRPr="000010A7">
              <w:t>provisions applied by the RVSR</w:t>
            </w:r>
            <w:r w:rsidR="003D0A79" w:rsidRPr="000010A7">
              <w:t xml:space="preserve"> in evaluating evidence</w:t>
            </w:r>
          </w:p>
          <w:p w14:paraId="41C90412" w14:textId="77777777" w:rsidR="00CD44C0" w:rsidRPr="000010A7" w:rsidRDefault="00CD44C0" w:rsidP="00E92651">
            <w:pPr>
              <w:pStyle w:val="BulletText1"/>
            </w:pPr>
            <w:r w:rsidRPr="000010A7">
              <w:t>effect of rating schedule readjustment</w:t>
            </w:r>
          </w:p>
          <w:p w14:paraId="57ADF630" w14:textId="77777777" w:rsidR="00341E78" w:rsidRPr="000010A7" w:rsidRDefault="00341E78">
            <w:pPr>
              <w:pStyle w:val="BulletText1"/>
            </w:pPr>
            <w:r w:rsidRPr="000010A7">
              <w:t>standards of evidentiary proof</w:t>
            </w:r>
          </w:p>
          <w:p w14:paraId="47CA6C80" w14:textId="77777777" w:rsidR="00341E78" w:rsidRPr="000010A7" w:rsidRDefault="00B02E11">
            <w:pPr>
              <w:pStyle w:val="BulletText1"/>
            </w:pPr>
            <w:r w:rsidRPr="000010A7">
              <w:t>reasonable</w:t>
            </w:r>
            <w:r w:rsidR="00341E78" w:rsidRPr="000010A7">
              <w:t xml:space="preserve"> doubt rule</w:t>
            </w:r>
          </w:p>
          <w:p w14:paraId="3BB134E8" w14:textId="77777777" w:rsidR="00325DF0" w:rsidRPr="000010A7" w:rsidRDefault="00325DF0">
            <w:pPr>
              <w:pStyle w:val="BulletText1"/>
            </w:pPr>
            <w:r w:rsidRPr="000010A7">
              <w:t>understanding the entitlement criteria that must be proven</w:t>
            </w:r>
          </w:p>
          <w:p w14:paraId="06B73AB6" w14:textId="03D0EA43" w:rsidR="00263709" w:rsidRPr="000010A7" w:rsidRDefault="00263709">
            <w:pPr>
              <w:pStyle w:val="BulletText1"/>
            </w:pPr>
            <w:r w:rsidRPr="000010A7">
              <w:t>choosing between two levels of evaluation</w:t>
            </w:r>
            <w:r w:rsidR="00325DF0" w:rsidRPr="000010A7">
              <w:t>, and</w:t>
            </w:r>
          </w:p>
          <w:p w14:paraId="3E53FF88" w14:textId="77777777" w:rsidR="00AD5525" w:rsidRPr="000010A7" w:rsidRDefault="00263709" w:rsidP="00263709">
            <w:pPr>
              <w:pStyle w:val="BulletText1"/>
            </w:pPr>
            <w:proofErr w:type="gramStart"/>
            <w:r w:rsidRPr="000010A7">
              <w:t>role</w:t>
            </w:r>
            <w:proofErr w:type="gramEnd"/>
            <w:r w:rsidRPr="000010A7">
              <w:t xml:space="preserve"> of presumptive provisions</w:t>
            </w:r>
            <w:r w:rsidR="00AD5525" w:rsidRPr="000010A7">
              <w:t>.</w:t>
            </w:r>
          </w:p>
        </w:tc>
      </w:tr>
    </w:tbl>
    <w:p w14:paraId="168046D3" w14:textId="77777777" w:rsidR="00AD5525" w:rsidRPr="000010A7" w:rsidRDefault="00AD5525">
      <w:pPr>
        <w:pStyle w:val="BlockLine"/>
      </w:pPr>
    </w:p>
    <w:tbl>
      <w:tblPr>
        <w:tblW w:w="0" w:type="auto"/>
        <w:tblLayout w:type="fixed"/>
        <w:tblLook w:val="0000" w:firstRow="0" w:lastRow="0" w:firstColumn="0" w:lastColumn="0" w:noHBand="0" w:noVBand="0"/>
      </w:tblPr>
      <w:tblGrid>
        <w:gridCol w:w="1728"/>
        <w:gridCol w:w="7740"/>
      </w:tblGrid>
      <w:tr w:rsidR="00AD5525" w:rsidRPr="000010A7" w14:paraId="3AAE3CC9" w14:textId="77777777" w:rsidTr="001B1806">
        <w:trPr>
          <w:cantSplit/>
        </w:trPr>
        <w:tc>
          <w:tcPr>
            <w:tcW w:w="1728" w:type="dxa"/>
            <w:shd w:val="clear" w:color="auto" w:fill="auto"/>
          </w:tcPr>
          <w:p w14:paraId="5229C4EC" w14:textId="77777777" w:rsidR="00AD5525" w:rsidRPr="000010A7" w:rsidRDefault="00AD5525">
            <w:pPr>
              <w:pStyle w:val="Heading5"/>
            </w:pPr>
            <w:r w:rsidRPr="000010A7">
              <w:t>Change Date</w:t>
            </w:r>
          </w:p>
        </w:tc>
        <w:tc>
          <w:tcPr>
            <w:tcW w:w="7740" w:type="dxa"/>
            <w:shd w:val="clear" w:color="auto" w:fill="auto"/>
          </w:tcPr>
          <w:p w14:paraId="27747B63" w14:textId="611C9600" w:rsidR="00AD5525" w:rsidRPr="000010A7" w:rsidRDefault="00A53011" w:rsidP="001B1806">
            <w:pPr>
              <w:pStyle w:val="BlockText"/>
            </w:pPr>
            <w:r w:rsidRPr="000010A7">
              <w:t>July 15, 2015</w:t>
            </w:r>
          </w:p>
        </w:tc>
      </w:tr>
    </w:tbl>
    <w:p w14:paraId="495ED139" w14:textId="77777777" w:rsidR="00AD5525" w:rsidRPr="000010A7" w:rsidRDefault="00AD5525">
      <w:pPr>
        <w:pStyle w:val="BlockLine"/>
      </w:pPr>
    </w:p>
    <w:tbl>
      <w:tblPr>
        <w:tblW w:w="0" w:type="auto"/>
        <w:tblLook w:val="04A0" w:firstRow="1" w:lastRow="0" w:firstColumn="1" w:lastColumn="0" w:noHBand="0" w:noVBand="1"/>
      </w:tblPr>
      <w:tblGrid>
        <w:gridCol w:w="1728"/>
        <w:gridCol w:w="7740"/>
      </w:tblGrid>
      <w:tr w:rsidR="00263709" w:rsidRPr="000010A7" w14:paraId="361AE43E" w14:textId="77777777" w:rsidTr="0040163C">
        <w:tc>
          <w:tcPr>
            <w:tcW w:w="1728" w:type="dxa"/>
            <w:shd w:val="clear" w:color="auto" w:fill="auto"/>
          </w:tcPr>
          <w:p w14:paraId="558D4841" w14:textId="77777777" w:rsidR="00263709" w:rsidRPr="000010A7" w:rsidRDefault="00263709" w:rsidP="00263709">
            <w:pPr>
              <w:rPr>
                <w:b/>
                <w:sz w:val="22"/>
              </w:rPr>
            </w:pPr>
            <w:r w:rsidRPr="000010A7">
              <w:rPr>
                <w:b/>
                <w:sz w:val="22"/>
              </w:rPr>
              <w:t>a.  Definition:  Evidence</w:t>
            </w:r>
          </w:p>
        </w:tc>
        <w:tc>
          <w:tcPr>
            <w:tcW w:w="7740" w:type="dxa"/>
            <w:shd w:val="clear" w:color="auto" w:fill="auto"/>
          </w:tcPr>
          <w:p w14:paraId="2819C992" w14:textId="77777777" w:rsidR="00263709" w:rsidRPr="000010A7" w:rsidRDefault="00263709" w:rsidP="00263709">
            <w:pPr>
              <w:pStyle w:val="BlockText"/>
            </w:pPr>
            <w:r w:rsidRPr="000010A7">
              <w:rPr>
                <w:b/>
                <w:i/>
              </w:rPr>
              <w:t>Evidence</w:t>
            </w:r>
            <w:r w:rsidRPr="000010A7">
              <w:t xml:space="preserve"> is every type of proof offered to establish a fact.  </w:t>
            </w:r>
          </w:p>
          <w:p w14:paraId="0056A55C" w14:textId="77777777" w:rsidR="00263709" w:rsidRPr="000010A7" w:rsidRDefault="00263709" w:rsidP="0040163C">
            <w:pPr>
              <w:pStyle w:val="BulletText1"/>
              <w:numPr>
                <w:ilvl w:val="0"/>
                <w:numId w:val="0"/>
              </w:numPr>
            </w:pPr>
          </w:p>
          <w:p w14:paraId="17125A32" w14:textId="77777777" w:rsidR="00263709" w:rsidRPr="000010A7" w:rsidRDefault="00263709" w:rsidP="00263709">
            <w:r w:rsidRPr="000010A7">
              <w:t xml:space="preserve">The table below describes the different types of evidence.  </w:t>
            </w:r>
          </w:p>
        </w:tc>
      </w:tr>
    </w:tbl>
    <w:p w14:paraId="40B2E995" w14:textId="77777777" w:rsidR="00263709" w:rsidRPr="000010A7" w:rsidRDefault="00263709" w:rsidP="00263709">
      <w:pPr>
        <w:tabs>
          <w:tab w:val="left" w:pos="9360"/>
        </w:tabs>
        <w:ind w:left="1714"/>
        <w:rPr>
          <w:u w:val="single"/>
        </w:rPr>
      </w:pPr>
    </w:p>
    <w:tbl>
      <w:tblPr>
        <w:tblW w:w="0" w:type="auto"/>
        <w:tblInd w:w="1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4"/>
        <w:gridCol w:w="4788"/>
      </w:tblGrid>
      <w:tr w:rsidR="00263709" w:rsidRPr="000010A7" w14:paraId="6D608BE4" w14:textId="77777777" w:rsidTr="008A40FA">
        <w:tc>
          <w:tcPr>
            <w:tcW w:w="3074" w:type="dxa"/>
            <w:shd w:val="clear" w:color="auto" w:fill="auto"/>
          </w:tcPr>
          <w:p w14:paraId="2AB7DAFD" w14:textId="77777777" w:rsidR="00263709" w:rsidRPr="000010A7" w:rsidRDefault="00263709" w:rsidP="0040163C">
            <w:pPr>
              <w:tabs>
                <w:tab w:val="left" w:pos="9360"/>
              </w:tabs>
              <w:jc w:val="center"/>
              <w:rPr>
                <w:b/>
                <w:u w:val="single"/>
              </w:rPr>
            </w:pPr>
            <w:r w:rsidRPr="000010A7">
              <w:rPr>
                <w:b/>
              </w:rPr>
              <w:t>Evidence</w:t>
            </w:r>
          </w:p>
        </w:tc>
        <w:tc>
          <w:tcPr>
            <w:tcW w:w="4788" w:type="dxa"/>
            <w:shd w:val="clear" w:color="auto" w:fill="auto"/>
          </w:tcPr>
          <w:p w14:paraId="6A58D7ED" w14:textId="77777777" w:rsidR="00263709" w:rsidRPr="000010A7" w:rsidRDefault="00263709" w:rsidP="0040163C">
            <w:pPr>
              <w:tabs>
                <w:tab w:val="left" w:pos="9360"/>
              </w:tabs>
              <w:jc w:val="center"/>
              <w:rPr>
                <w:b/>
                <w:u w:val="single"/>
              </w:rPr>
            </w:pPr>
            <w:r w:rsidRPr="000010A7">
              <w:rPr>
                <w:b/>
              </w:rPr>
              <w:t>Description</w:t>
            </w:r>
          </w:p>
        </w:tc>
      </w:tr>
      <w:tr w:rsidR="00263709" w:rsidRPr="000010A7" w14:paraId="07C93B76" w14:textId="77777777" w:rsidTr="008A40FA">
        <w:tc>
          <w:tcPr>
            <w:tcW w:w="3074" w:type="dxa"/>
            <w:shd w:val="clear" w:color="auto" w:fill="auto"/>
          </w:tcPr>
          <w:p w14:paraId="2BE3A024" w14:textId="77777777" w:rsidR="00263709" w:rsidRPr="000010A7" w:rsidRDefault="002958A3" w:rsidP="0040163C">
            <w:pPr>
              <w:tabs>
                <w:tab w:val="left" w:pos="9360"/>
              </w:tabs>
              <w:rPr>
                <w:u w:val="single"/>
              </w:rPr>
            </w:pPr>
            <w:r w:rsidRPr="000010A7">
              <w:lastRenderedPageBreak/>
              <w:t>t</w:t>
            </w:r>
            <w:r w:rsidR="00263709" w:rsidRPr="000010A7">
              <w:t>estimonial</w:t>
            </w:r>
          </w:p>
        </w:tc>
        <w:tc>
          <w:tcPr>
            <w:tcW w:w="4788" w:type="dxa"/>
            <w:shd w:val="clear" w:color="auto" w:fill="auto"/>
          </w:tcPr>
          <w:p w14:paraId="568357B9" w14:textId="77777777" w:rsidR="00263709" w:rsidRPr="000010A7" w:rsidRDefault="002958A3" w:rsidP="0040163C">
            <w:pPr>
              <w:tabs>
                <w:tab w:val="left" w:pos="9360"/>
              </w:tabs>
              <w:jc w:val="both"/>
              <w:rPr>
                <w:u w:val="single"/>
              </w:rPr>
            </w:pPr>
            <w:r w:rsidRPr="000010A7">
              <w:t>o</w:t>
            </w:r>
            <w:r w:rsidR="00263709" w:rsidRPr="000010A7">
              <w:t>ral and written statements</w:t>
            </w:r>
          </w:p>
        </w:tc>
      </w:tr>
      <w:tr w:rsidR="00263709" w:rsidRPr="000010A7" w14:paraId="7B549620" w14:textId="77777777" w:rsidTr="008A40FA">
        <w:tc>
          <w:tcPr>
            <w:tcW w:w="3074" w:type="dxa"/>
            <w:shd w:val="clear" w:color="auto" w:fill="auto"/>
          </w:tcPr>
          <w:p w14:paraId="4DFADCE2" w14:textId="77777777" w:rsidR="00263709" w:rsidRPr="000010A7" w:rsidRDefault="002958A3" w:rsidP="0040163C">
            <w:pPr>
              <w:tabs>
                <w:tab w:val="left" w:pos="9360"/>
              </w:tabs>
              <w:rPr>
                <w:u w:val="single"/>
              </w:rPr>
            </w:pPr>
            <w:r w:rsidRPr="000010A7">
              <w:t>d</w:t>
            </w:r>
            <w:r w:rsidR="00263709" w:rsidRPr="000010A7">
              <w:t>ocumentary</w:t>
            </w:r>
          </w:p>
        </w:tc>
        <w:tc>
          <w:tcPr>
            <w:tcW w:w="4788" w:type="dxa"/>
            <w:shd w:val="clear" w:color="auto" w:fill="auto"/>
          </w:tcPr>
          <w:p w14:paraId="2BF89ABA" w14:textId="77777777" w:rsidR="00263709" w:rsidRPr="000010A7" w:rsidRDefault="002958A3" w:rsidP="0040163C">
            <w:pPr>
              <w:tabs>
                <w:tab w:val="left" w:pos="9360"/>
              </w:tabs>
              <w:rPr>
                <w:u w:val="single"/>
              </w:rPr>
            </w:pPr>
            <w:r w:rsidRPr="000010A7">
              <w:t>d</w:t>
            </w:r>
            <w:r w:rsidR="00263709" w:rsidRPr="000010A7">
              <w:t>ocuments</w:t>
            </w:r>
          </w:p>
        </w:tc>
      </w:tr>
      <w:tr w:rsidR="00263709" w:rsidRPr="000010A7" w14:paraId="7FD1F1AB" w14:textId="77777777" w:rsidTr="008A40FA">
        <w:tc>
          <w:tcPr>
            <w:tcW w:w="3074" w:type="dxa"/>
            <w:shd w:val="clear" w:color="auto" w:fill="auto"/>
          </w:tcPr>
          <w:p w14:paraId="7710518B" w14:textId="77777777" w:rsidR="00263709" w:rsidRPr="000010A7" w:rsidRDefault="002958A3" w:rsidP="0040163C">
            <w:pPr>
              <w:tabs>
                <w:tab w:val="left" w:pos="9360"/>
              </w:tabs>
              <w:rPr>
                <w:u w:val="single"/>
              </w:rPr>
            </w:pPr>
            <w:r w:rsidRPr="000010A7">
              <w:t>r</w:t>
            </w:r>
            <w:r w:rsidR="00263709" w:rsidRPr="000010A7">
              <w:t>eal</w:t>
            </w:r>
          </w:p>
        </w:tc>
        <w:tc>
          <w:tcPr>
            <w:tcW w:w="4788" w:type="dxa"/>
            <w:shd w:val="clear" w:color="auto" w:fill="auto"/>
          </w:tcPr>
          <w:p w14:paraId="48152E5E" w14:textId="77777777" w:rsidR="002958A3" w:rsidRPr="000010A7" w:rsidRDefault="002958A3" w:rsidP="0040163C">
            <w:pPr>
              <w:tabs>
                <w:tab w:val="left" w:pos="9360"/>
              </w:tabs>
            </w:pPr>
            <w:r w:rsidRPr="000010A7">
              <w:t>a</w:t>
            </w:r>
            <w:r w:rsidR="00263709" w:rsidRPr="000010A7">
              <w:t xml:space="preserve"> tangible object, usually playing some role in an event, from which the </w:t>
            </w:r>
            <w:r w:rsidRPr="000010A7">
              <w:t>fact finder may draw inferences</w:t>
            </w:r>
            <w:r w:rsidR="00263709" w:rsidRPr="000010A7">
              <w:t xml:space="preserve">  </w:t>
            </w:r>
          </w:p>
          <w:p w14:paraId="6FA0A323" w14:textId="77777777" w:rsidR="002958A3" w:rsidRPr="000010A7" w:rsidRDefault="002958A3" w:rsidP="0040163C">
            <w:pPr>
              <w:tabs>
                <w:tab w:val="left" w:pos="9360"/>
              </w:tabs>
            </w:pPr>
          </w:p>
          <w:p w14:paraId="009F7180" w14:textId="77777777" w:rsidR="00263709" w:rsidRPr="000010A7" w:rsidRDefault="002958A3" w:rsidP="0040163C">
            <w:pPr>
              <w:tabs>
                <w:tab w:val="left" w:pos="9360"/>
              </w:tabs>
              <w:rPr>
                <w:u w:val="single"/>
              </w:rPr>
            </w:pPr>
            <w:r w:rsidRPr="000010A7">
              <w:rPr>
                <w:b/>
                <w:i/>
              </w:rPr>
              <w:t>Example</w:t>
            </w:r>
            <w:r w:rsidRPr="000010A7">
              <w:t>:  A</w:t>
            </w:r>
            <w:r w:rsidR="00263709" w:rsidRPr="000010A7">
              <w:t xml:space="preserve"> prescription medicine container may prove evidence of a diagnosis or treatment.</w:t>
            </w:r>
          </w:p>
        </w:tc>
      </w:tr>
      <w:tr w:rsidR="00263709" w:rsidRPr="000010A7" w14:paraId="706B724E" w14:textId="77777777" w:rsidTr="008A40FA">
        <w:tc>
          <w:tcPr>
            <w:tcW w:w="3074" w:type="dxa"/>
            <w:shd w:val="clear" w:color="auto" w:fill="auto"/>
          </w:tcPr>
          <w:p w14:paraId="343139D7" w14:textId="77777777" w:rsidR="00263709" w:rsidRPr="000010A7" w:rsidRDefault="002958A3" w:rsidP="0040163C">
            <w:pPr>
              <w:tabs>
                <w:tab w:val="left" w:pos="9360"/>
              </w:tabs>
              <w:rPr>
                <w:u w:val="single"/>
              </w:rPr>
            </w:pPr>
            <w:r w:rsidRPr="000010A7">
              <w:t>d</w:t>
            </w:r>
            <w:r w:rsidR="00263709" w:rsidRPr="000010A7">
              <w:t>emonstrative</w:t>
            </w:r>
          </w:p>
        </w:tc>
        <w:tc>
          <w:tcPr>
            <w:tcW w:w="4788" w:type="dxa"/>
            <w:shd w:val="clear" w:color="auto" w:fill="auto"/>
          </w:tcPr>
          <w:p w14:paraId="5F84B0C4" w14:textId="77777777" w:rsidR="002958A3" w:rsidRPr="000010A7" w:rsidRDefault="002958A3" w:rsidP="0040163C">
            <w:pPr>
              <w:tabs>
                <w:tab w:val="left" w:pos="9360"/>
              </w:tabs>
            </w:pPr>
            <w:r w:rsidRPr="000010A7">
              <w:t>evidence that</w:t>
            </w:r>
            <w:r w:rsidR="00263709" w:rsidRPr="000010A7">
              <w:t xml:space="preserve"> illustrates testimony o</w:t>
            </w:r>
            <w:r w:rsidRPr="000010A7">
              <w:t>f a witness</w:t>
            </w:r>
            <w:r w:rsidR="00263709" w:rsidRPr="000010A7">
              <w:t xml:space="preserve">  </w:t>
            </w:r>
          </w:p>
          <w:p w14:paraId="007E29DF" w14:textId="77777777" w:rsidR="002958A3" w:rsidRPr="000010A7" w:rsidRDefault="002958A3" w:rsidP="0040163C">
            <w:pPr>
              <w:tabs>
                <w:tab w:val="left" w:pos="9360"/>
              </w:tabs>
            </w:pPr>
          </w:p>
          <w:p w14:paraId="0318FB40" w14:textId="77777777" w:rsidR="00263709" w:rsidRPr="000010A7" w:rsidRDefault="002958A3" w:rsidP="0040163C">
            <w:pPr>
              <w:tabs>
                <w:tab w:val="left" w:pos="9360"/>
              </w:tabs>
              <w:rPr>
                <w:u w:val="single"/>
              </w:rPr>
            </w:pPr>
            <w:r w:rsidRPr="000010A7">
              <w:rPr>
                <w:b/>
                <w:i/>
              </w:rPr>
              <w:t>Examples</w:t>
            </w:r>
            <w:r w:rsidRPr="000010A7">
              <w:t xml:space="preserve">:  </w:t>
            </w:r>
            <w:r w:rsidR="00263709" w:rsidRPr="000010A7">
              <w:t>a map, diagram, or re</w:t>
            </w:r>
            <w:r w:rsidRPr="000010A7">
              <w:t>-</w:t>
            </w:r>
            <w:r w:rsidR="00263709" w:rsidRPr="000010A7">
              <w:t>enactment</w:t>
            </w:r>
          </w:p>
        </w:tc>
      </w:tr>
      <w:tr w:rsidR="00263709" w:rsidRPr="000010A7" w14:paraId="60F25E03" w14:textId="77777777" w:rsidTr="008A40FA">
        <w:tc>
          <w:tcPr>
            <w:tcW w:w="3074" w:type="dxa"/>
            <w:shd w:val="clear" w:color="auto" w:fill="auto"/>
          </w:tcPr>
          <w:p w14:paraId="650D1E8B" w14:textId="77777777" w:rsidR="00263709" w:rsidRPr="000010A7" w:rsidRDefault="002958A3" w:rsidP="0040163C">
            <w:pPr>
              <w:tabs>
                <w:tab w:val="left" w:pos="9360"/>
              </w:tabs>
              <w:rPr>
                <w:u w:val="single"/>
              </w:rPr>
            </w:pPr>
            <w:r w:rsidRPr="000010A7">
              <w:t>d</w:t>
            </w:r>
            <w:r w:rsidR="00263709" w:rsidRPr="000010A7">
              <w:t>irect</w:t>
            </w:r>
          </w:p>
        </w:tc>
        <w:tc>
          <w:tcPr>
            <w:tcW w:w="4788" w:type="dxa"/>
            <w:shd w:val="clear" w:color="auto" w:fill="auto"/>
          </w:tcPr>
          <w:p w14:paraId="4359A3EC" w14:textId="77777777" w:rsidR="00263709" w:rsidRPr="000010A7" w:rsidRDefault="00F178D3" w:rsidP="0040163C">
            <w:pPr>
              <w:tabs>
                <w:tab w:val="left" w:pos="9360"/>
              </w:tabs>
              <w:rPr>
                <w:u w:val="single"/>
              </w:rPr>
            </w:pPr>
            <w:r w:rsidRPr="000010A7">
              <w:t xml:space="preserve">evidence </w:t>
            </w:r>
            <w:r w:rsidR="002958A3" w:rsidRPr="000010A7">
              <w:t>c</w:t>
            </w:r>
            <w:r w:rsidR="00263709" w:rsidRPr="000010A7">
              <w:t>apable by itself of proving a fact or issue</w:t>
            </w:r>
          </w:p>
        </w:tc>
      </w:tr>
      <w:tr w:rsidR="00263709" w:rsidRPr="000010A7" w14:paraId="4F93FFA9" w14:textId="77777777" w:rsidTr="008A40FA">
        <w:tc>
          <w:tcPr>
            <w:tcW w:w="3074" w:type="dxa"/>
            <w:shd w:val="clear" w:color="auto" w:fill="auto"/>
          </w:tcPr>
          <w:p w14:paraId="4D0D8BA8" w14:textId="77777777" w:rsidR="00263709" w:rsidRPr="000010A7" w:rsidRDefault="00F178D3" w:rsidP="0040163C">
            <w:pPr>
              <w:tabs>
                <w:tab w:val="left" w:pos="9360"/>
              </w:tabs>
              <w:rPr>
                <w:u w:val="single"/>
              </w:rPr>
            </w:pPr>
            <w:r w:rsidRPr="000010A7">
              <w:t>c</w:t>
            </w:r>
            <w:r w:rsidR="00263709" w:rsidRPr="000010A7">
              <w:t>ircumstantial</w:t>
            </w:r>
          </w:p>
        </w:tc>
        <w:tc>
          <w:tcPr>
            <w:tcW w:w="4788" w:type="dxa"/>
            <w:shd w:val="clear" w:color="auto" w:fill="auto"/>
          </w:tcPr>
          <w:p w14:paraId="1BB37B75" w14:textId="77777777" w:rsidR="00263709" w:rsidRPr="000010A7" w:rsidRDefault="00F178D3" w:rsidP="0040163C">
            <w:pPr>
              <w:tabs>
                <w:tab w:val="left" w:pos="9360"/>
              </w:tabs>
              <w:rPr>
                <w:u w:val="single"/>
              </w:rPr>
            </w:pPr>
            <w:r w:rsidRPr="000010A7">
              <w:t>evidence that may allow the fact find</w:t>
            </w:r>
            <w:r w:rsidR="00263709" w:rsidRPr="000010A7">
              <w:t>er to deduce a certain fact from other facts that can be proven</w:t>
            </w:r>
          </w:p>
        </w:tc>
      </w:tr>
    </w:tbl>
    <w:p w14:paraId="7BC3CD28" w14:textId="77777777" w:rsidR="00263709" w:rsidRPr="000010A7" w:rsidRDefault="00263709" w:rsidP="00263709">
      <w:pPr>
        <w:tabs>
          <w:tab w:val="left" w:pos="9360"/>
        </w:tabs>
        <w:ind w:left="1714"/>
      </w:pPr>
      <w:r w:rsidRPr="000010A7">
        <w:rPr>
          <w:u w:val="single"/>
        </w:rPr>
        <w:tab/>
      </w:r>
    </w:p>
    <w:p w14:paraId="21A284C6" w14:textId="77777777" w:rsidR="00263709" w:rsidRPr="000010A7" w:rsidRDefault="00263709" w:rsidP="00263709"/>
    <w:tbl>
      <w:tblPr>
        <w:tblW w:w="0" w:type="auto"/>
        <w:tblLook w:val="04A0" w:firstRow="1" w:lastRow="0" w:firstColumn="1" w:lastColumn="0" w:noHBand="0" w:noVBand="1"/>
      </w:tblPr>
      <w:tblGrid>
        <w:gridCol w:w="1728"/>
        <w:gridCol w:w="7740"/>
      </w:tblGrid>
      <w:tr w:rsidR="00263709" w:rsidRPr="000010A7" w14:paraId="650D4429" w14:textId="77777777" w:rsidTr="0040163C">
        <w:tc>
          <w:tcPr>
            <w:tcW w:w="1728" w:type="dxa"/>
            <w:shd w:val="clear" w:color="auto" w:fill="auto"/>
          </w:tcPr>
          <w:p w14:paraId="72CC628A" w14:textId="77777777" w:rsidR="00263709" w:rsidRPr="000010A7" w:rsidRDefault="00263709" w:rsidP="00263709">
            <w:pPr>
              <w:rPr>
                <w:b/>
                <w:sz w:val="22"/>
              </w:rPr>
            </w:pPr>
            <w:r w:rsidRPr="000010A7">
              <w:rPr>
                <w:b/>
                <w:sz w:val="22"/>
              </w:rPr>
              <w:t>b.  Definition:  Rules of Evidence</w:t>
            </w:r>
          </w:p>
        </w:tc>
        <w:tc>
          <w:tcPr>
            <w:tcW w:w="7740" w:type="dxa"/>
            <w:shd w:val="clear" w:color="auto" w:fill="auto"/>
          </w:tcPr>
          <w:p w14:paraId="25ED3455" w14:textId="77777777" w:rsidR="00263709" w:rsidRPr="000010A7" w:rsidRDefault="00263709" w:rsidP="00263709">
            <w:pPr>
              <w:pStyle w:val="BlockText"/>
            </w:pPr>
            <w:r w:rsidRPr="000010A7">
              <w:rPr>
                <w:b/>
                <w:i/>
              </w:rPr>
              <w:t>Rules of evidence</w:t>
            </w:r>
            <w:r w:rsidRPr="000010A7">
              <w:t xml:space="preserve"> are guidelines on evaluation of the evidence submitted or obtained in a case.  The</w:t>
            </w:r>
            <w:r w:rsidR="00F178D3" w:rsidRPr="000010A7">
              <w:t>se</w:t>
            </w:r>
            <w:r w:rsidRPr="000010A7">
              <w:t xml:space="preserve"> rules dictate whether evidence may be admitted or considered, when particular evidence can prove a matter</w:t>
            </w:r>
            <w:r w:rsidR="00F178D3" w:rsidRPr="000010A7">
              <w:t>,</w:t>
            </w:r>
            <w:r w:rsidRPr="000010A7">
              <w:t xml:space="preserve"> and when evidence is entitled to more value or less value than other evidence</w:t>
            </w:r>
            <w:r w:rsidR="00F178D3" w:rsidRPr="000010A7">
              <w:t xml:space="preserve"> in the record</w:t>
            </w:r>
            <w:r w:rsidRPr="000010A7">
              <w:t xml:space="preserve">.  </w:t>
            </w:r>
          </w:p>
          <w:p w14:paraId="17FD5F72" w14:textId="77777777" w:rsidR="00263709" w:rsidRPr="000010A7" w:rsidRDefault="00263709" w:rsidP="00263709">
            <w:pPr>
              <w:pStyle w:val="BlockText"/>
            </w:pPr>
          </w:p>
          <w:p w14:paraId="6E436596" w14:textId="77777777" w:rsidR="00263709" w:rsidRPr="000010A7" w:rsidRDefault="00263709" w:rsidP="00263709">
            <w:pPr>
              <w:pStyle w:val="BlockText"/>
            </w:pPr>
            <w:r w:rsidRPr="000010A7">
              <w:t>A body of</w:t>
            </w:r>
            <w:r w:rsidR="00F178D3" w:rsidRPr="000010A7">
              <w:t xml:space="preserve"> Department of Veterans Affairs</w:t>
            </w:r>
            <w:r w:rsidRPr="000010A7">
              <w:t xml:space="preserve"> </w:t>
            </w:r>
            <w:r w:rsidR="00F178D3" w:rsidRPr="000010A7">
              <w:t>(</w:t>
            </w:r>
            <w:r w:rsidRPr="000010A7">
              <w:t>VA</w:t>
            </w:r>
            <w:r w:rsidR="00F178D3" w:rsidRPr="000010A7">
              <w:t>)</w:t>
            </w:r>
            <w:r w:rsidRPr="000010A7">
              <w:t xml:space="preserve"> regulations, directives, and court precedent exists on use</w:t>
            </w:r>
            <w:r w:rsidR="00F178D3" w:rsidRPr="000010A7">
              <w:t xml:space="preserve"> of evidence in VA adjudication actions</w:t>
            </w:r>
            <w:r w:rsidRPr="000010A7">
              <w:t>.  The decision maker must apply these rules of evidence</w:t>
            </w:r>
            <w:r w:rsidR="00F178D3" w:rsidRPr="000010A7">
              <w:t xml:space="preserve"> in reaching a decision on a case</w:t>
            </w:r>
            <w:r w:rsidRPr="000010A7">
              <w:t xml:space="preserve">. </w:t>
            </w:r>
          </w:p>
          <w:p w14:paraId="2A9D2F25" w14:textId="77777777" w:rsidR="00263709" w:rsidRPr="000010A7" w:rsidRDefault="00263709" w:rsidP="00263709">
            <w:pPr>
              <w:pStyle w:val="BlockText"/>
            </w:pPr>
          </w:p>
          <w:p w14:paraId="6B265776" w14:textId="77777777" w:rsidR="00263709" w:rsidRPr="000010A7" w:rsidRDefault="00263709" w:rsidP="00263709">
            <w:pPr>
              <w:pStyle w:val="BlockText"/>
            </w:pPr>
            <w:r w:rsidRPr="000010A7">
              <w:rPr>
                <w:b/>
                <w:i/>
              </w:rPr>
              <w:t>Notes</w:t>
            </w:r>
            <w:r w:rsidRPr="000010A7">
              <w:t xml:space="preserve">:  </w:t>
            </w:r>
          </w:p>
          <w:p w14:paraId="38F62C79" w14:textId="77777777" w:rsidR="00263709" w:rsidRPr="000010A7" w:rsidRDefault="00F178D3" w:rsidP="00C17F48">
            <w:pPr>
              <w:pStyle w:val="ListParagraph"/>
              <w:numPr>
                <w:ilvl w:val="0"/>
                <w:numId w:val="5"/>
              </w:numPr>
              <w:ind w:left="158" w:hanging="187"/>
            </w:pPr>
            <w:r w:rsidRPr="000010A7">
              <w:t>The codified Federal rules of e</w:t>
            </w:r>
            <w:r w:rsidR="00263709" w:rsidRPr="000010A7">
              <w:t xml:space="preserve">vidence used in Federal court proceedings do not apply in VA proceedings.    </w:t>
            </w:r>
          </w:p>
          <w:p w14:paraId="5714F94B" w14:textId="77777777" w:rsidR="00263709" w:rsidRPr="000010A7" w:rsidRDefault="00263709" w:rsidP="00C17F48">
            <w:pPr>
              <w:pStyle w:val="ListParagraph"/>
              <w:numPr>
                <w:ilvl w:val="0"/>
                <w:numId w:val="6"/>
              </w:numPr>
              <w:ind w:left="158" w:hanging="187"/>
            </w:pPr>
            <w:r w:rsidRPr="000010A7">
              <w:t>VA is a completely ex-parte system of adju</w:t>
            </w:r>
            <w:r w:rsidR="00F178D3" w:rsidRPr="000010A7">
              <w:t>dication, meaning the VA is responsible for</w:t>
            </w:r>
            <w:r w:rsidRPr="000010A7">
              <w:t xml:space="preserve"> fully and sympathetically develop</w:t>
            </w:r>
            <w:r w:rsidR="00F178D3" w:rsidRPr="000010A7">
              <w:t>ing</w:t>
            </w:r>
            <w:r w:rsidRPr="000010A7">
              <w:t xml:space="preserve"> the V</w:t>
            </w:r>
            <w:r w:rsidR="00F178D3" w:rsidRPr="000010A7">
              <w:t>eteran’s claim and resolving</w:t>
            </w:r>
            <w:r w:rsidRPr="000010A7">
              <w:t xml:space="preserve"> all issues by giving the claimant the benefit of any reasonable doubt, in the absence of such adversarial concepts as cross examination, best evidence rule, and strict adherence to burden of proof.</w:t>
            </w:r>
          </w:p>
          <w:p w14:paraId="5AAC9C32" w14:textId="77777777" w:rsidR="00FC5621" w:rsidRPr="000010A7" w:rsidRDefault="00FC5621" w:rsidP="00C17F48">
            <w:pPr>
              <w:pStyle w:val="ListParagraph"/>
              <w:numPr>
                <w:ilvl w:val="0"/>
                <w:numId w:val="6"/>
              </w:numPr>
              <w:ind w:left="158" w:hanging="187"/>
            </w:pPr>
            <w:r w:rsidRPr="000010A7">
              <w:t>A VA General Counsel precedent opinion is con</w:t>
            </w:r>
            <w:r w:rsidR="004E6378" w:rsidRPr="000010A7">
              <w:t xml:space="preserve">sidered an administrative issue for effective date purposes as indicated in </w:t>
            </w:r>
            <w:hyperlink r:id="rId14" w:history="1">
              <w:r w:rsidR="004E6378" w:rsidRPr="000010A7">
                <w:rPr>
                  <w:rStyle w:val="Hyperlink"/>
                </w:rPr>
                <w:t>VAOPGCPREC 88-90</w:t>
              </w:r>
            </w:hyperlink>
            <w:r w:rsidR="004E6378" w:rsidRPr="000010A7">
              <w:t xml:space="preserve">, </w:t>
            </w:r>
            <w:hyperlink r:id="rId15" w:history="1">
              <w:r w:rsidR="004E6378" w:rsidRPr="000010A7">
                <w:rPr>
                  <w:rStyle w:val="Hyperlink"/>
                </w:rPr>
                <w:t>38 U.S.C. 5110(g)</w:t>
              </w:r>
            </w:hyperlink>
            <w:r w:rsidR="004E6378" w:rsidRPr="000010A7">
              <w:t xml:space="preserve">, and </w:t>
            </w:r>
            <w:hyperlink r:id="rId16" w:history="1">
              <w:r w:rsidR="004E6378" w:rsidRPr="000010A7">
                <w:rPr>
                  <w:rStyle w:val="Hyperlink"/>
                </w:rPr>
                <w:t>38 CFR 3.114</w:t>
              </w:r>
            </w:hyperlink>
            <w:r w:rsidR="004E6378" w:rsidRPr="000010A7">
              <w:t>.</w:t>
            </w:r>
          </w:p>
          <w:p w14:paraId="2AF0FDDC" w14:textId="77777777" w:rsidR="007270ED" w:rsidRPr="000010A7" w:rsidRDefault="00FC5621" w:rsidP="00C17F48">
            <w:pPr>
              <w:pStyle w:val="ListParagraph"/>
              <w:numPr>
                <w:ilvl w:val="0"/>
                <w:numId w:val="6"/>
              </w:numPr>
              <w:ind w:left="158" w:hanging="187"/>
            </w:pPr>
            <w:r w:rsidRPr="000010A7">
              <w:t xml:space="preserve">Generally, rules announced in precedent judicial decisions apply to all cases </w:t>
            </w:r>
            <w:r w:rsidR="007270ED" w:rsidRPr="000010A7">
              <w:t xml:space="preserve">that are </w:t>
            </w:r>
            <w:r w:rsidRPr="000010A7">
              <w:t>still open on direct review when the new rule is announced.  Unless they state otherwise, statutes and regulations are presumed to apply prospectively</w:t>
            </w:r>
            <w:r w:rsidR="007270ED" w:rsidRPr="000010A7">
              <w:t xml:space="preserve"> (in the future).</w:t>
            </w:r>
          </w:p>
          <w:p w14:paraId="7A47B6A3" w14:textId="77777777" w:rsidR="007270ED" w:rsidRPr="000010A7" w:rsidRDefault="007270ED" w:rsidP="0040163C">
            <w:pPr>
              <w:pStyle w:val="ListParagraph"/>
              <w:ind w:left="158"/>
            </w:pPr>
          </w:p>
          <w:p w14:paraId="2C3683A0" w14:textId="77777777" w:rsidR="00FC5621" w:rsidRPr="000010A7" w:rsidRDefault="007270ED" w:rsidP="008A40FA">
            <w:pPr>
              <w:pStyle w:val="ListParagraph"/>
              <w:ind w:left="0"/>
            </w:pPr>
            <w:r w:rsidRPr="000010A7">
              <w:rPr>
                <w:b/>
                <w:i/>
              </w:rPr>
              <w:t>Exception</w:t>
            </w:r>
            <w:r w:rsidRPr="000010A7">
              <w:t>:  Precedential decisions that result in “genuinely retroactive effects</w:t>
            </w:r>
            <w:r w:rsidR="00B55169" w:rsidRPr="000010A7">
              <w:t>” in which application of the new decision</w:t>
            </w:r>
            <w:r w:rsidR="00FC5621" w:rsidRPr="000010A7">
              <w:t xml:space="preserve"> impairs rights the</w:t>
            </w:r>
            <w:r w:rsidR="00B55169" w:rsidRPr="000010A7">
              <w:t xml:space="preserve"> party originally had, increases</w:t>
            </w:r>
            <w:r w:rsidR="00FC5621" w:rsidRPr="000010A7">
              <w:t xml:space="preserve"> the party’s lia</w:t>
            </w:r>
            <w:r w:rsidR="00B55169" w:rsidRPr="000010A7">
              <w:t>bility for past conduct, imposes</w:t>
            </w:r>
            <w:r w:rsidR="00FC5621" w:rsidRPr="000010A7">
              <w:t xml:space="preserve"> new duties with respect to prior transactions, or attaches new legal consequences </w:t>
            </w:r>
            <w:r w:rsidR="00FC5621" w:rsidRPr="000010A7">
              <w:lastRenderedPageBreak/>
              <w:t xml:space="preserve">to events that occurred before the enactment as indicated in </w:t>
            </w:r>
            <w:hyperlink r:id="rId17" w:history="1">
              <w:r w:rsidR="00FC5621" w:rsidRPr="000010A7">
                <w:rPr>
                  <w:rStyle w:val="Hyperlink"/>
                </w:rPr>
                <w:t>VAOPGCPREC 07-2003</w:t>
              </w:r>
            </w:hyperlink>
            <w:r w:rsidR="00FC5621" w:rsidRPr="000010A7">
              <w:t>.</w:t>
            </w:r>
          </w:p>
          <w:p w14:paraId="42646711" w14:textId="77777777" w:rsidR="00263709" w:rsidRPr="000010A7" w:rsidRDefault="00263709" w:rsidP="00263709"/>
          <w:p w14:paraId="20D2DE21" w14:textId="77777777" w:rsidR="00263709" w:rsidRPr="000010A7" w:rsidRDefault="00263709" w:rsidP="00263709">
            <w:r w:rsidRPr="000010A7">
              <w:rPr>
                <w:b/>
                <w:i/>
              </w:rPr>
              <w:t>Reference</w:t>
            </w:r>
            <w:r w:rsidRPr="000010A7">
              <w:t>:  For more information on rules of evidence, see</w:t>
            </w:r>
          </w:p>
          <w:p w14:paraId="54A0617E" w14:textId="77777777" w:rsidR="00263709" w:rsidRPr="000010A7" w:rsidRDefault="000010A7" w:rsidP="00C17F48">
            <w:pPr>
              <w:pStyle w:val="ListParagraph"/>
              <w:numPr>
                <w:ilvl w:val="0"/>
                <w:numId w:val="7"/>
              </w:numPr>
              <w:ind w:left="158" w:hanging="187"/>
            </w:pPr>
            <w:hyperlink r:id="rId18" w:anchor="bmf" w:history="1">
              <w:r w:rsidR="00263709" w:rsidRPr="000010A7">
                <w:rPr>
                  <w:rStyle w:val="Hyperlink"/>
                  <w:i/>
                </w:rPr>
                <w:t>Flynn v. Brown,</w:t>
              </w:r>
            </w:hyperlink>
            <w:r w:rsidR="00263709" w:rsidRPr="000010A7">
              <w:t xml:space="preserve"> </w:t>
            </w:r>
            <w:proofErr w:type="gramStart"/>
            <w:r w:rsidR="00263709" w:rsidRPr="000010A7">
              <w:t xml:space="preserve">6 </w:t>
            </w:r>
            <w:proofErr w:type="spellStart"/>
            <w:r w:rsidR="00263709" w:rsidRPr="000010A7">
              <w:t>Vet.App</w:t>
            </w:r>
            <w:proofErr w:type="spellEnd"/>
            <w:proofErr w:type="gramEnd"/>
            <w:r w:rsidR="00263709" w:rsidRPr="000010A7">
              <w:t>. 500, 503 (1994), and</w:t>
            </w:r>
          </w:p>
          <w:p w14:paraId="27C8FFE2" w14:textId="77777777" w:rsidR="00263709" w:rsidRPr="000010A7" w:rsidRDefault="000010A7" w:rsidP="00C17F48">
            <w:pPr>
              <w:pStyle w:val="ListParagraph"/>
              <w:numPr>
                <w:ilvl w:val="0"/>
                <w:numId w:val="7"/>
              </w:numPr>
              <w:ind w:left="158" w:hanging="187"/>
            </w:pPr>
            <w:hyperlink r:id="rId19" w:anchor="bmm" w:history="1">
              <w:proofErr w:type="spellStart"/>
              <w:r w:rsidR="00263709" w:rsidRPr="000010A7">
                <w:rPr>
                  <w:rStyle w:val="Hyperlink"/>
                  <w:i/>
                </w:rPr>
                <w:t>Manio</w:t>
              </w:r>
              <w:proofErr w:type="spellEnd"/>
              <w:r w:rsidR="00263709" w:rsidRPr="000010A7">
                <w:rPr>
                  <w:rStyle w:val="Hyperlink"/>
                  <w:i/>
                </w:rPr>
                <w:t xml:space="preserve"> v. </w:t>
              </w:r>
              <w:proofErr w:type="spellStart"/>
              <w:r w:rsidR="00263709" w:rsidRPr="000010A7">
                <w:rPr>
                  <w:rStyle w:val="Hyperlink"/>
                  <w:i/>
                </w:rPr>
                <w:t>Derwinski</w:t>
              </w:r>
              <w:proofErr w:type="spellEnd"/>
              <w:r w:rsidR="00263709" w:rsidRPr="000010A7">
                <w:rPr>
                  <w:rStyle w:val="Hyperlink"/>
                  <w:i/>
                </w:rPr>
                <w:t>,</w:t>
              </w:r>
            </w:hyperlink>
            <w:r w:rsidR="00263709" w:rsidRPr="000010A7">
              <w:t xml:space="preserve"> 1 </w:t>
            </w:r>
            <w:proofErr w:type="spellStart"/>
            <w:r w:rsidR="00263709" w:rsidRPr="000010A7">
              <w:t>Vet.App</w:t>
            </w:r>
            <w:proofErr w:type="spellEnd"/>
            <w:r w:rsidR="00263709" w:rsidRPr="000010A7">
              <w:t xml:space="preserve">. 140 (1991).  </w:t>
            </w:r>
          </w:p>
        </w:tc>
      </w:tr>
    </w:tbl>
    <w:p w14:paraId="48FCC88A" w14:textId="77777777" w:rsidR="00263709" w:rsidRPr="000010A7" w:rsidRDefault="00263709" w:rsidP="00263709">
      <w:pPr>
        <w:tabs>
          <w:tab w:val="left" w:pos="9360"/>
        </w:tabs>
        <w:ind w:left="1714"/>
      </w:pPr>
      <w:r w:rsidRPr="000010A7">
        <w:rPr>
          <w:u w:val="single"/>
        </w:rPr>
        <w:lastRenderedPageBreak/>
        <w:tab/>
      </w:r>
    </w:p>
    <w:p w14:paraId="24A62256" w14:textId="77777777" w:rsidR="00263709" w:rsidRPr="000010A7" w:rsidRDefault="00263709" w:rsidP="00263709"/>
    <w:tbl>
      <w:tblPr>
        <w:tblW w:w="0" w:type="auto"/>
        <w:tblLook w:val="04A0" w:firstRow="1" w:lastRow="0" w:firstColumn="1" w:lastColumn="0" w:noHBand="0" w:noVBand="1"/>
      </w:tblPr>
      <w:tblGrid>
        <w:gridCol w:w="1728"/>
        <w:gridCol w:w="7740"/>
      </w:tblGrid>
      <w:tr w:rsidR="00263709" w:rsidRPr="000010A7" w14:paraId="31FBA98E" w14:textId="77777777" w:rsidTr="0040163C">
        <w:tc>
          <w:tcPr>
            <w:tcW w:w="1728" w:type="dxa"/>
            <w:shd w:val="clear" w:color="auto" w:fill="auto"/>
          </w:tcPr>
          <w:p w14:paraId="14800CAB" w14:textId="77777777" w:rsidR="00263709" w:rsidRPr="000010A7" w:rsidRDefault="00263709" w:rsidP="00263709">
            <w:pPr>
              <w:rPr>
                <w:b/>
                <w:sz w:val="22"/>
              </w:rPr>
            </w:pPr>
            <w:r w:rsidRPr="000010A7">
              <w:rPr>
                <w:b/>
                <w:sz w:val="22"/>
              </w:rPr>
              <w:t xml:space="preserve">c.  </w:t>
            </w:r>
            <w:r w:rsidR="008A40FA" w:rsidRPr="000010A7">
              <w:rPr>
                <w:b/>
                <w:sz w:val="22"/>
              </w:rPr>
              <w:t xml:space="preserve">Definitions: </w:t>
            </w:r>
            <w:r w:rsidRPr="000010A7">
              <w:rPr>
                <w:b/>
                <w:sz w:val="22"/>
              </w:rPr>
              <w:t>Findings of Fact and Conclusions of Law</w:t>
            </w:r>
          </w:p>
        </w:tc>
        <w:tc>
          <w:tcPr>
            <w:tcW w:w="7740" w:type="dxa"/>
            <w:shd w:val="clear" w:color="auto" w:fill="auto"/>
          </w:tcPr>
          <w:p w14:paraId="0F72C448" w14:textId="77777777" w:rsidR="00263709" w:rsidRPr="000010A7" w:rsidRDefault="00263709" w:rsidP="00263709">
            <w:pPr>
              <w:pStyle w:val="BlockText"/>
            </w:pPr>
            <w:r w:rsidRPr="000010A7">
              <w:rPr>
                <w:b/>
                <w:i/>
              </w:rPr>
              <w:t xml:space="preserve">Findings of fact </w:t>
            </w:r>
            <w:r w:rsidRPr="000010A7">
              <w:t xml:space="preserve">are the true facts that a decision maker finds to </w:t>
            </w:r>
            <w:r w:rsidR="00B55169" w:rsidRPr="000010A7">
              <w:t>exist after the analysis</w:t>
            </w:r>
            <w:r w:rsidRPr="000010A7">
              <w:t xml:space="preserve"> of all evidence of record.  Findings of fact are necessary to making the conclusions of law.</w:t>
            </w:r>
          </w:p>
          <w:p w14:paraId="40E0AE8F" w14:textId="77777777" w:rsidR="00263709" w:rsidRPr="000010A7" w:rsidRDefault="00263709" w:rsidP="00263709">
            <w:pPr>
              <w:pStyle w:val="BlockText"/>
            </w:pPr>
          </w:p>
          <w:p w14:paraId="06958AD4" w14:textId="77777777" w:rsidR="00263709" w:rsidRPr="000010A7" w:rsidRDefault="00263709" w:rsidP="00263709">
            <w:r w:rsidRPr="000010A7">
              <w:rPr>
                <w:b/>
                <w:i/>
              </w:rPr>
              <w:t>Conclusions of law</w:t>
            </w:r>
            <w:r w:rsidRPr="000010A7">
              <w:t xml:space="preserve"> are the ultimate determinations made</w:t>
            </w:r>
            <w:r w:rsidR="00B55169" w:rsidRPr="000010A7">
              <w:t xml:space="preserve"> regarding</w:t>
            </w:r>
            <w:r w:rsidRPr="000010A7">
              <w:t xml:space="preserve"> whether key governing substantive and/or procedural legal requirements defined by the claim are proven.  Every legal conclusion depends on finding certain facts.  </w:t>
            </w:r>
          </w:p>
        </w:tc>
      </w:tr>
    </w:tbl>
    <w:p w14:paraId="1EA46B74" w14:textId="77777777" w:rsidR="00263709" w:rsidRDefault="00263709" w:rsidP="00263709">
      <w:pPr>
        <w:tabs>
          <w:tab w:val="left" w:pos="9360"/>
        </w:tabs>
        <w:ind w:left="1714"/>
        <w:rPr>
          <w:u w:val="single"/>
        </w:rPr>
      </w:pPr>
      <w:r w:rsidRPr="000010A7">
        <w:rPr>
          <w:u w:val="single"/>
        </w:rPr>
        <w:tab/>
      </w:r>
    </w:p>
    <w:p w14:paraId="5B80B5D3" w14:textId="77777777" w:rsidR="000010A7" w:rsidRPr="000010A7" w:rsidRDefault="000010A7" w:rsidP="00263709">
      <w:pPr>
        <w:tabs>
          <w:tab w:val="left" w:pos="9360"/>
        </w:tabs>
        <w:ind w:left="1714"/>
      </w:pPr>
    </w:p>
    <w:tbl>
      <w:tblPr>
        <w:tblW w:w="0" w:type="auto"/>
        <w:tblLayout w:type="fixed"/>
        <w:tblLook w:val="0000" w:firstRow="0" w:lastRow="0" w:firstColumn="0" w:lastColumn="0" w:noHBand="0" w:noVBand="0"/>
      </w:tblPr>
      <w:tblGrid>
        <w:gridCol w:w="1728"/>
        <w:gridCol w:w="7740"/>
      </w:tblGrid>
      <w:tr w:rsidR="00AD5525" w:rsidRPr="000010A7" w14:paraId="2A37A24A" w14:textId="77777777" w:rsidTr="006A0460">
        <w:tc>
          <w:tcPr>
            <w:tcW w:w="1728" w:type="dxa"/>
            <w:shd w:val="clear" w:color="auto" w:fill="auto"/>
          </w:tcPr>
          <w:p w14:paraId="358EA8D1" w14:textId="00DBE0DC" w:rsidR="00AD5525" w:rsidRPr="000010A7" w:rsidRDefault="00262AB8" w:rsidP="00F571AF">
            <w:pPr>
              <w:pStyle w:val="Heading5"/>
            </w:pPr>
            <w:proofErr w:type="gramStart"/>
            <w:r w:rsidRPr="000010A7">
              <w:t>d</w:t>
            </w:r>
            <w:r w:rsidR="00AD5525" w:rsidRPr="000010A7">
              <w:t xml:space="preserve">.  </w:t>
            </w:r>
            <w:r w:rsidR="001A4B00" w:rsidRPr="000010A7">
              <w:t>Circumstances</w:t>
            </w:r>
            <w:proofErr w:type="gramEnd"/>
            <w:r w:rsidR="001A4B00" w:rsidRPr="000010A7">
              <w:t xml:space="preserve"> in Which </w:t>
            </w:r>
            <w:proofErr w:type="spellStart"/>
            <w:r w:rsidR="001A4B00" w:rsidRPr="000010A7">
              <w:t>to</w:t>
            </w:r>
            <w:r w:rsidR="00AD5525" w:rsidRPr="000010A7">
              <w:t>Evaluate</w:t>
            </w:r>
            <w:proofErr w:type="spellEnd"/>
            <w:r w:rsidR="00AD5525" w:rsidRPr="000010A7">
              <w:t xml:space="preserve"> </w:t>
            </w:r>
            <w:proofErr w:type="spellStart"/>
            <w:r w:rsidR="00AD5525" w:rsidRPr="000010A7">
              <w:t>Evidenc</w:t>
            </w:r>
            <w:proofErr w:type="spellEnd"/>
          </w:p>
        </w:tc>
        <w:tc>
          <w:tcPr>
            <w:tcW w:w="7740" w:type="dxa"/>
            <w:shd w:val="clear" w:color="auto" w:fill="auto"/>
          </w:tcPr>
          <w:p w14:paraId="3CEF3ABC" w14:textId="77777777" w:rsidR="00B02202" w:rsidRPr="000010A7" w:rsidRDefault="00B02202" w:rsidP="00B02202">
            <w:pPr>
              <w:pStyle w:val="BlockText"/>
            </w:pPr>
            <w:r w:rsidRPr="000010A7">
              <w:t xml:space="preserve">The decision maker will evaluate evidence after verifying that the claim has been properly developed and procedurally prepared for a decision but before a written decision on the issues is prepared.  </w:t>
            </w:r>
          </w:p>
          <w:p w14:paraId="40AD0BD9" w14:textId="77777777" w:rsidR="00B02202" w:rsidRPr="000010A7" w:rsidRDefault="00B02202" w:rsidP="00B02202">
            <w:pPr>
              <w:pStyle w:val="BlockText"/>
            </w:pPr>
          </w:p>
          <w:p w14:paraId="49AC5D99" w14:textId="77777777" w:rsidR="004650BB" w:rsidRPr="000010A7" w:rsidRDefault="00B02202" w:rsidP="001B1806">
            <w:pPr>
              <w:pStyle w:val="BlockText"/>
            </w:pPr>
            <w:r w:rsidRPr="000010A7">
              <w:t>Verifying that the claim is properly developed and procedurally prepared for a decision involves</w:t>
            </w:r>
            <w:r w:rsidR="004650BB" w:rsidRPr="000010A7">
              <w:t xml:space="preserve"> making sure that </w:t>
            </w:r>
          </w:p>
          <w:p w14:paraId="748F8148" w14:textId="77777777" w:rsidR="004650BB" w:rsidRPr="000010A7" w:rsidRDefault="004650BB" w:rsidP="001B1806">
            <w:pPr>
              <w:pStyle w:val="BlockText"/>
            </w:pPr>
          </w:p>
          <w:p w14:paraId="405FAB08" w14:textId="77777777" w:rsidR="004650BB" w:rsidRPr="000010A7" w:rsidRDefault="004650BB" w:rsidP="004650BB">
            <w:pPr>
              <w:numPr>
                <w:ilvl w:val="0"/>
                <w:numId w:val="37"/>
              </w:numPr>
              <w:ind w:left="158" w:hanging="187"/>
            </w:pPr>
            <w:r w:rsidRPr="000010A7">
              <w:t xml:space="preserve">all issues were recognized </w:t>
            </w:r>
          </w:p>
          <w:p w14:paraId="31311FC2" w14:textId="77777777" w:rsidR="004650BB" w:rsidRPr="000010A7" w:rsidRDefault="00B02202" w:rsidP="004650BB">
            <w:pPr>
              <w:numPr>
                <w:ilvl w:val="0"/>
                <w:numId w:val="37"/>
              </w:numPr>
              <w:ind w:left="158" w:hanging="187"/>
            </w:pPr>
            <w:r w:rsidRPr="000010A7">
              <w:t>th</w:t>
            </w:r>
            <w:r w:rsidR="004650BB" w:rsidRPr="000010A7">
              <w:t>e duty to notify was discharged</w:t>
            </w:r>
          </w:p>
          <w:p w14:paraId="449C24C0" w14:textId="77777777" w:rsidR="004650BB" w:rsidRPr="000010A7" w:rsidRDefault="00B02202" w:rsidP="004650BB">
            <w:pPr>
              <w:numPr>
                <w:ilvl w:val="0"/>
                <w:numId w:val="37"/>
              </w:numPr>
              <w:ind w:left="158" w:hanging="187"/>
            </w:pPr>
            <w:r w:rsidRPr="000010A7">
              <w:t>the duty to assist was completed or otherwise appropriately discharged</w:t>
            </w:r>
            <w:r w:rsidR="00AD0EF9" w:rsidRPr="000010A7">
              <w:t>,</w:t>
            </w:r>
            <w:r w:rsidRPr="000010A7">
              <w:t xml:space="preserve"> and</w:t>
            </w:r>
          </w:p>
          <w:p w14:paraId="353ABA55" w14:textId="77777777" w:rsidR="004650BB" w:rsidRPr="000010A7" w:rsidRDefault="004650BB" w:rsidP="004650BB">
            <w:pPr>
              <w:numPr>
                <w:ilvl w:val="0"/>
                <w:numId w:val="37"/>
              </w:numPr>
              <w:ind w:left="158" w:hanging="187"/>
            </w:pPr>
            <w:proofErr w:type="gramStart"/>
            <w:r w:rsidRPr="000010A7">
              <w:t>the</w:t>
            </w:r>
            <w:proofErr w:type="gramEnd"/>
            <w:r w:rsidRPr="000010A7">
              <w:t xml:space="preserve"> </w:t>
            </w:r>
            <w:r w:rsidR="00AD0EF9" w:rsidRPr="000010A7">
              <w:t>appropriate procedures were followed</w:t>
            </w:r>
            <w:r w:rsidR="00B02202" w:rsidRPr="000010A7">
              <w:t xml:space="preserve"> when any other</w:t>
            </w:r>
            <w:r w:rsidR="00AD0EF9" w:rsidRPr="000010A7">
              <w:t xml:space="preserve"> due process requirement was implicated by the facts in the case</w:t>
            </w:r>
            <w:r w:rsidR="00B02202" w:rsidRPr="000010A7">
              <w:t xml:space="preserve">.  </w:t>
            </w:r>
          </w:p>
          <w:p w14:paraId="290B2DE4" w14:textId="77777777" w:rsidR="004650BB" w:rsidRPr="000010A7" w:rsidRDefault="004650BB" w:rsidP="004650BB">
            <w:pPr>
              <w:ind w:left="158"/>
            </w:pPr>
          </w:p>
          <w:p w14:paraId="2CEC4398" w14:textId="77777777" w:rsidR="00AD0EF9" w:rsidRPr="000010A7" w:rsidRDefault="00AD0EF9" w:rsidP="001B1806">
            <w:pPr>
              <w:pStyle w:val="BlockText"/>
            </w:pPr>
            <w:r w:rsidRPr="000010A7">
              <w:rPr>
                <w:b/>
                <w:i/>
              </w:rPr>
              <w:t>References</w:t>
            </w:r>
            <w:r w:rsidRPr="000010A7">
              <w:t>:  For more information on</w:t>
            </w:r>
          </w:p>
          <w:p w14:paraId="7EE9E7CB" w14:textId="77777777" w:rsidR="00AD0EF9" w:rsidRPr="000010A7" w:rsidRDefault="008A40FA" w:rsidP="00C17F48">
            <w:pPr>
              <w:numPr>
                <w:ilvl w:val="0"/>
                <w:numId w:val="16"/>
              </w:numPr>
              <w:ind w:left="158" w:hanging="187"/>
            </w:pPr>
            <w:r w:rsidRPr="000010A7">
              <w:t>the Veterans Benefits Management System (</w:t>
            </w:r>
            <w:r w:rsidR="00AD0EF9" w:rsidRPr="000010A7">
              <w:t>VBMS</w:t>
            </w:r>
            <w:r w:rsidRPr="000010A7">
              <w:t>)</w:t>
            </w:r>
            <w:r w:rsidR="00AD0EF9" w:rsidRPr="000010A7">
              <w:t xml:space="preserve">, see the </w:t>
            </w:r>
            <w:hyperlink r:id="rId20" w:history="1">
              <w:r w:rsidR="00AD0EF9" w:rsidRPr="000010A7">
                <w:rPr>
                  <w:rStyle w:val="Hyperlink"/>
                  <w:i/>
                </w:rPr>
                <w:t>VBMS-User Guide</w:t>
              </w:r>
            </w:hyperlink>
            <w:r w:rsidR="00AD0EF9" w:rsidRPr="000010A7">
              <w:t xml:space="preserve">, and </w:t>
            </w:r>
          </w:p>
          <w:p w14:paraId="6E6E652F" w14:textId="77777777" w:rsidR="00AD0EF9" w:rsidRPr="000010A7" w:rsidRDefault="008A40FA" w:rsidP="00C17F48">
            <w:pPr>
              <w:numPr>
                <w:ilvl w:val="0"/>
                <w:numId w:val="16"/>
              </w:numPr>
              <w:ind w:left="158" w:hanging="187"/>
            </w:pPr>
            <w:r w:rsidRPr="000010A7">
              <w:t>Modern Awards Processing-Development (</w:t>
            </w:r>
            <w:r w:rsidR="00AD0EF9" w:rsidRPr="000010A7">
              <w:t>MAP-D</w:t>
            </w:r>
            <w:r w:rsidRPr="000010A7">
              <w:t>)</w:t>
            </w:r>
            <w:r w:rsidR="00AD0EF9" w:rsidRPr="000010A7">
              <w:t xml:space="preserve">, </w:t>
            </w:r>
            <w:proofErr w:type="gramStart"/>
            <w:r w:rsidR="00AD0EF9" w:rsidRPr="000010A7">
              <w:t>see</w:t>
            </w:r>
            <w:proofErr w:type="gramEnd"/>
            <w:r w:rsidR="00AD0EF9" w:rsidRPr="000010A7">
              <w:t xml:space="preserve"> the </w:t>
            </w:r>
            <w:hyperlink r:id="rId21" w:history="1">
              <w:r w:rsidR="00AD0EF9" w:rsidRPr="000010A7">
                <w:rPr>
                  <w:rStyle w:val="Hyperlink"/>
                  <w:i/>
                </w:rPr>
                <w:t>MAP-D User Guide</w:t>
              </w:r>
            </w:hyperlink>
            <w:r w:rsidR="00AD0EF9" w:rsidRPr="000010A7">
              <w:t xml:space="preserve">. </w:t>
            </w:r>
          </w:p>
          <w:p w14:paraId="217896A3" w14:textId="44B4596C" w:rsidR="00AD5525" w:rsidRPr="000010A7" w:rsidRDefault="00AD5525" w:rsidP="00AD0EF9"/>
        </w:tc>
      </w:tr>
    </w:tbl>
    <w:p w14:paraId="3359B7C4" w14:textId="77777777" w:rsidR="00AD5525" w:rsidRPr="000010A7" w:rsidRDefault="00AD5525">
      <w:pPr>
        <w:pStyle w:val="BlockLine"/>
      </w:pPr>
    </w:p>
    <w:tbl>
      <w:tblPr>
        <w:tblW w:w="0" w:type="auto"/>
        <w:tblLayout w:type="fixed"/>
        <w:tblLook w:val="0000" w:firstRow="0" w:lastRow="0" w:firstColumn="0" w:lastColumn="0" w:noHBand="0" w:noVBand="0"/>
      </w:tblPr>
      <w:tblGrid>
        <w:gridCol w:w="1728"/>
        <w:gridCol w:w="7740"/>
      </w:tblGrid>
      <w:tr w:rsidR="00AD5525" w:rsidRPr="000010A7" w14:paraId="5C7EADD2" w14:textId="77777777" w:rsidTr="001B1806">
        <w:trPr>
          <w:cantSplit/>
        </w:trPr>
        <w:tc>
          <w:tcPr>
            <w:tcW w:w="1728" w:type="dxa"/>
            <w:shd w:val="clear" w:color="auto" w:fill="auto"/>
          </w:tcPr>
          <w:p w14:paraId="13EBAD9A" w14:textId="431866E0" w:rsidR="00AD5525" w:rsidRPr="000010A7" w:rsidRDefault="00262AB8" w:rsidP="002A5497">
            <w:pPr>
              <w:pStyle w:val="Heading5"/>
            </w:pPr>
            <w:proofErr w:type="gramStart"/>
            <w:r w:rsidRPr="000010A7">
              <w:t>e</w:t>
            </w:r>
            <w:r w:rsidR="00AD5525" w:rsidRPr="000010A7">
              <w:t xml:space="preserve">.  </w:t>
            </w:r>
            <w:r w:rsidR="002A5497" w:rsidRPr="000010A7">
              <w:t>Attitude</w:t>
            </w:r>
            <w:proofErr w:type="gramEnd"/>
            <w:r w:rsidR="00AD5525" w:rsidRPr="000010A7">
              <w:t xml:space="preserve"> When Evaluating Evidence</w:t>
            </w:r>
          </w:p>
        </w:tc>
        <w:tc>
          <w:tcPr>
            <w:tcW w:w="7740" w:type="dxa"/>
            <w:shd w:val="clear" w:color="auto" w:fill="auto"/>
          </w:tcPr>
          <w:p w14:paraId="536FA6CA" w14:textId="77777777" w:rsidR="00AD5525" w:rsidRPr="000010A7" w:rsidRDefault="00AD5525" w:rsidP="001B1806">
            <w:pPr>
              <w:pStyle w:val="BlockText"/>
            </w:pPr>
            <w:r w:rsidRPr="000010A7">
              <w:t>When evaluating evidence and making decisions</w:t>
            </w:r>
          </w:p>
          <w:p w14:paraId="7D5E75E9" w14:textId="77777777" w:rsidR="00AD5525" w:rsidRPr="000010A7" w:rsidRDefault="00AD5525" w:rsidP="001B1806">
            <w:pPr>
              <w:pStyle w:val="BlockText"/>
            </w:pPr>
          </w:p>
          <w:p w14:paraId="2BDE6661" w14:textId="77777777" w:rsidR="00AD5525" w:rsidRPr="000010A7" w:rsidRDefault="00AD5525">
            <w:pPr>
              <w:pStyle w:val="BulletText1"/>
            </w:pPr>
            <w:r w:rsidRPr="000010A7">
              <w:t>maintain objectivity</w:t>
            </w:r>
          </w:p>
          <w:p w14:paraId="0E0A5EF3" w14:textId="77777777" w:rsidR="00AD5525" w:rsidRPr="000010A7" w:rsidRDefault="00AD5525">
            <w:pPr>
              <w:pStyle w:val="BulletText1"/>
            </w:pPr>
            <w:r w:rsidRPr="000010A7">
              <w:t xml:space="preserve">never allow personal feelings to enter into the </w:t>
            </w:r>
            <w:r w:rsidR="00AD0EF9" w:rsidRPr="000010A7">
              <w:t xml:space="preserve">decision making </w:t>
            </w:r>
            <w:r w:rsidRPr="000010A7">
              <w:t>process, and</w:t>
            </w:r>
          </w:p>
          <w:p w14:paraId="3EE93D3C" w14:textId="77777777" w:rsidR="00AD5525" w:rsidRPr="000010A7" w:rsidRDefault="00AD5525">
            <w:pPr>
              <w:pStyle w:val="BulletText1"/>
            </w:pPr>
            <w:proofErr w:type="gramStart"/>
            <w:r w:rsidRPr="000010A7">
              <w:t>show</w:t>
            </w:r>
            <w:proofErr w:type="gramEnd"/>
            <w:r w:rsidRPr="000010A7">
              <w:t xml:space="preserve"> fairness and courtesy at all times to claimants.</w:t>
            </w:r>
          </w:p>
          <w:p w14:paraId="14DF000A" w14:textId="77777777" w:rsidR="00AD5525" w:rsidRPr="000010A7" w:rsidRDefault="00AD5525" w:rsidP="001B1806">
            <w:pPr>
              <w:pStyle w:val="BlockText"/>
            </w:pPr>
          </w:p>
          <w:p w14:paraId="4A113FEC" w14:textId="77777777" w:rsidR="00AD5525" w:rsidRPr="000010A7" w:rsidRDefault="00AD5525" w:rsidP="001B1806">
            <w:pPr>
              <w:pStyle w:val="BlockText"/>
            </w:pPr>
            <w:r w:rsidRPr="000010A7">
              <w:rPr>
                <w:b/>
                <w:i/>
              </w:rPr>
              <w:t>Example</w:t>
            </w:r>
            <w:r w:rsidRPr="000010A7">
              <w:t>:  An antagonistic, critical, or even abusive attitude on the part of the claimant should not in any way influence the handling of the case.</w:t>
            </w:r>
          </w:p>
          <w:p w14:paraId="12CE14BB" w14:textId="77777777" w:rsidR="00AD5525" w:rsidRPr="000010A7" w:rsidRDefault="00AD5525" w:rsidP="001B1806">
            <w:pPr>
              <w:pStyle w:val="BlockText"/>
            </w:pPr>
          </w:p>
          <w:p w14:paraId="06FE152A" w14:textId="77777777" w:rsidR="00AD5525" w:rsidRPr="000010A7" w:rsidRDefault="00AD5525" w:rsidP="001B1806">
            <w:pPr>
              <w:pStyle w:val="BlockText"/>
              <w:rPr>
                <w:b/>
                <w:u w:val="single"/>
              </w:rPr>
            </w:pPr>
            <w:r w:rsidRPr="000010A7">
              <w:rPr>
                <w:b/>
                <w:i/>
              </w:rPr>
              <w:t>Reference</w:t>
            </w:r>
            <w:r w:rsidRPr="000010A7">
              <w:t xml:space="preserve">:  For more information on the attitude of the rating officers, see </w:t>
            </w:r>
            <w:hyperlink r:id="rId22" w:history="1">
              <w:r w:rsidR="00714726" w:rsidRPr="000010A7">
                <w:rPr>
                  <w:rStyle w:val="Hyperlink"/>
                </w:rPr>
                <w:t>38 CFR 4.23</w:t>
              </w:r>
            </w:hyperlink>
            <w:r w:rsidRPr="000010A7">
              <w:t>.</w:t>
            </w:r>
          </w:p>
        </w:tc>
      </w:tr>
    </w:tbl>
    <w:p w14:paraId="02DF28A9" w14:textId="77777777" w:rsidR="00714726" w:rsidRPr="000010A7" w:rsidRDefault="00714726">
      <w:pPr>
        <w:pStyle w:val="BlockLine"/>
      </w:pPr>
    </w:p>
    <w:tbl>
      <w:tblPr>
        <w:tblW w:w="0" w:type="auto"/>
        <w:tblLook w:val="04A0" w:firstRow="1" w:lastRow="0" w:firstColumn="1" w:lastColumn="0" w:noHBand="0" w:noVBand="1"/>
      </w:tblPr>
      <w:tblGrid>
        <w:gridCol w:w="1728"/>
        <w:gridCol w:w="7740"/>
      </w:tblGrid>
      <w:tr w:rsidR="00714726" w:rsidRPr="000010A7" w14:paraId="04537B15" w14:textId="77777777" w:rsidTr="0040163C">
        <w:tc>
          <w:tcPr>
            <w:tcW w:w="1728" w:type="dxa"/>
            <w:shd w:val="clear" w:color="auto" w:fill="auto"/>
          </w:tcPr>
          <w:p w14:paraId="462786EE" w14:textId="77777777" w:rsidR="00714726" w:rsidRPr="000010A7" w:rsidRDefault="00714726" w:rsidP="00714726">
            <w:pPr>
              <w:rPr>
                <w:b/>
                <w:sz w:val="22"/>
              </w:rPr>
            </w:pPr>
            <w:r w:rsidRPr="000010A7">
              <w:rPr>
                <w:b/>
                <w:sz w:val="22"/>
              </w:rPr>
              <w:t>f.  Overview of Evaluating Evidence</w:t>
            </w:r>
          </w:p>
        </w:tc>
        <w:tc>
          <w:tcPr>
            <w:tcW w:w="7740" w:type="dxa"/>
            <w:shd w:val="clear" w:color="auto" w:fill="auto"/>
          </w:tcPr>
          <w:p w14:paraId="75702064" w14:textId="77777777" w:rsidR="00714726" w:rsidRPr="000010A7" w:rsidRDefault="00714726" w:rsidP="00714726">
            <w:pPr>
              <w:pStyle w:val="BlockText"/>
            </w:pPr>
            <w:r w:rsidRPr="000010A7">
              <w:rPr>
                <w:b/>
                <w:i/>
              </w:rPr>
              <w:t>Evaluating evidence</w:t>
            </w:r>
            <w:r w:rsidRPr="000010A7">
              <w:t xml:space="preserve"> refers to a series of analytical steps that must be performed by a VA decision maker in making findings of fact for the purpose of drawing conclusions of law on each aspect or criterion of the legal standard for entitlement to the benefit and on applicable procedural matters. </w:t>
            </w:r>
          </w:p>
          <w:p w14:paraId="69979B8E" w14:textId="77777777" w:rsidR="00714726" w:rsidRPr="000010A7" w:rsidRDefault="00714726" w:rsidP="00714726">
            <w:pPr>
              <w:pStyle w:val="BlockText"/>
            </w:pPr>
          </w:p>
          <w:p w14:paraId="783780C2" w14:textId="77777777" w:rsidR="00714726" w:rsidRPr="000010A7" w:rsidRDefault="00714726" w:rsidP="00714726">
            <w:r w:rsidRPr="000010A7">
              <w:t>Follow the steps in the table below when evaluating evidence:</w:t>
            </w:r>
          </w:p>
        </w:tc>
      </w:tr>
    </w:tbl>
    <w:p w14:paraId="11A577A0" w14:textId="77777777" w:rsidR="00714726" w:rsidRPr="000010A7" w:rsidRDefault="00714726" w:rsidP="00714726"/>
    <w:tbl>
      <w:tblPr>
        <w:tblW w:w="7650" w:type="dxa"/>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6570"/>
      </w:tblGrid>
      <w:tr w:rsidR="00714726" w:rsidRPr="000010A7" w14:paraId="1D6A0F85" w14:textId="77777777" w:rsidTr="0040163C">
        <w:tc>
          <w:tcPr>
            <w:tcW w:w="1080" w:type="dxa"/>
            <w:shd w:val="clear" w:color="auto" w:fill="auto"/>
          </w:tcPr>
          <w:p w14:paraId="13EAE1EF" w14:textId="77777777" w:rsidR="00714726" w:rsidRPr="000010A7" w:rsidRDefault="00714726" w:rsidP="0040163C">
            <w:pPr>
              <w:jc w:val="center"/>
              <w:rPr>
                <w:b/>
              </w:rPr>
            </w:pPr>
            <w:r w:rsidRPr="000010A7">
              <w:rPr>
                <w:b/>
              </w:rPr>
              <w:t>Step</w:t>
            </w:r>
          </w:p>
        </w:tc>
        <w:tc>
          <w:tcPr>
            <w:tcW w:w="6570" w:type="dxa"/>
            <w:shd w:val="clear" w:color="auto" w:fill="auto"/>
          </w:tcPr>
          <w:p w14:paraId="34EA5921" w14:textId="77777777" w:rsidR="00714726" w:rsidRPr="000010A7" w:rsidRDefault="00714726" w:rsidP="0040163C">
            <w:pPr>
              <w:jc w:val="center"/>
              <w:rPr>
                <w:b/>
              </w:rPr>
            </w:pPr>
            <w:r w:rsidRPr="000010A7">
              <w:rPr>
                <w:b/>
              </w:rPr>
              <w:t>Action</w:t>
            </w:r>
          </w:p>
        </w:tc>
      </w:tr>
      <w:tr w:rsidR="00714726" w:rsidRPr="000010A7" w14:paraId="57C520E7" w14:textId="77777777" w:rsidTr="0040163C">
        <w:tc>
          <w:tcPr>
            <w:tcW w:w="1080" w:type="dxa"/>
            <w:shd w:val="clear" w:color="auto" w:fill="auto"/>
          </w:tcPr>
          <w:p w14:paraId="08E23491" w14:textId="77777777" w:rsidR="00714726" w:rsidRPr="000010A7" w:rsidRDefault="00714726" w:rsidP="0040163C">
            <w:pPr>
              <w:jc w:val="center"/>
            </w:pPr>
            <w:r w:rsidRPr="000010A7">
              <w:t>1</w:t>
            </w:r>
          </w:p>
        </w:tc>
        <w:tc>
          <w:tcPr>
            <w:tcW w:w="6570" w:type="dxa"/>
            <w:shd w:val="clear" w:color="auto" w:fill="auto"/>
          </w:tcPr>
          <w:p w14:paraId="69074A95" w14:textId="77777777" w:rsidR="00714726" w:rsidRPr="000010A7" w:rsidRDefault="00714726" w:rsidP="00714726">
            <w:r w:rsidRPr="000010A7">
              <w:t>Determine what facts are required and what standard of proof applies based on the criteria for entitlement to the specific benefit s</w:t>
            </w:r>
            <w:r w:rsidR="004E5273" w:rsidRPr="000010A7">
              <w:t>ought and the procedural issue</w:t>
            </w:r>
            <w:r w:rsidRPr="000010A7">
              <w:t xml:space="preserve"> (original, new, increase, reopen, presumption, proposed adverse action, and stabilization).</w:t>
            </w:r>
          </w:p>
        </w:tc>
      </w:tr>
      <w:tr w:rsidR="00714726" w:rsidRPr="000010A7" w14:paraId="34471945" w14:textId="77777777" w:rsidTr="0040163C">
        <w:tc>
          <w:tcPr>
            <w:tcW w:w="1080" w:type="dxa"/>
            <w:shd w:val="clear" w:color="auto" w:fill="auto"/>
          </w:tcPr>
          <w:p w14:paraId="408C118A" w14:textId="77777777" w:rsidR="00714726" w:rsidRPr="000010A7" w:rsidRDefault="00714726" w:rsidP="0040163C">
            <w:pPr>
              <w:jc w:val="center"/>
            </w:pPr>
            <w:r w:rsidRPr="000010A7">
              <w:t>2</w:t>
            </w:r>
          </w:p>
        </w:tc>
        <w:tc>
          <w:tcPr>
            <w:tcW w:w="6570" w:type="dxa"/>
            <w:shd w:val="clear" w:color="auto" w:fill="auto"/>
          </w:tcPr>
          <w:p w14:paraId="5889A9E2" w14:textId="77777777" w:rsidR="00714726" w:rsidRPr="000010A7" w:rsidRDefault="00714726" w:rsidP="00714726">
            <w:r w:rsidRPr="000010A7">
              <w:t xml:space="preserve">Discount any admitted evidence that is not </w:t>
            </w:r>
            <w:r w:rsidRPr="000010A7">
              <w:rPr>
                <w:b/>
                <w:i/>
              </w:rPr>
              <w:t>material</w:t>
            </w:r>
            <w:r w:rsidRPr="000010A7">
              <w:t xml:space="preserve"> to (that does not relate to) the components of the entitlemen</w:t>
            </w:r>
            <w:r w:rsidR="004E5273" w:rsidRPr="000010A7">
              <w:t>t standard or procedural issue</w:t>
            </w:r>
            <w:r w:rsidRPr="000010A7">
              <w:t xml:space="preserve"> at issue in the case.  </w:t>
            </w:r>
          </w:p>
        </w:tc>
      </w:tr>
      <w:tr w:rsidR="00714726" w:rsidRPr="000010A7" w14:paraId="4933D2F1" w14:textId="77777777" w:rsidTr="0040163C">
        <w:tc>
          <w:tcPr>
            <w:tcW w:w="1080" w:type="dxa"/>
            <w:shd w:val="clear" w:color="auto" w:fill="auto"/>
          </w:tcPr>
          <w:p w14:paraId="26A14190" w14:textId="77777777" w:rsidR="00714726" w:rsidRPr="000010A7" w:rsidRDefault="00714726" w:rsidP="0040163C">
            <w:pPr>
              <w:jc w:val="center"/>
            </w:pPr>
            <w:r w:rsidRPr="000010A7">
              <w:t>3</w:t>
            </w:r>
          </w:p>
        </w:tc>
        <w:tc>
          <w:tcPr>
            <w:tcW w:w="6570" w:type="dxa"/>
            <w:shd w:val="clear" w:color="auto" w:fill="auto"/>
          </w:tcPr>
          <w:p w14:paraId="135CEE75" w14:textId="77777777" w:rsidR="00714726" w:rsidRPr="000010A7" w:rsidRDefault="00714726" w:rsidP="00714726">
            <w:pPr>
              <w:pStyle w:val="TableText"/>
            </w:pPr>
            <w:r w:rsidRPr="000010A7">
              <w:t>Determine the probat</w:t>
            </w:r>
            <w:r w:rsidR="004E5273" w:rsidRPr="000010A7">
              <w:t xml:space="preserve">ive value of evidence that </w:t>
            </w:r>
            <w:r w:rsidRPr="000010A7">
              <w:t>bear</w:t>
            </w:r>
            <w:r w:rsidR="004E5273" w:rsidRPr="000010A7">
              <w:t>s</w:t>
            </w:r>
            <w:r w:rsidRPr="000010A7">
              <w:t xml:space="preserve"> on the entitlemen</w:t>
            </w:r>
            <w:r w:rsidR="004E5273" w:rsidRPr="000010A7">
              <w:t>t standard or procedural issue</w:t>
            </w:r>
            <w:r w:rsidRPr="000010A7">
              <w:t xml:space="preserve">.  This means deciding to which extent those items of evidence are </w:t>
            </w:r>
            <w:r w:rsidRPr="000010A7">
              <w:rPr>
                <w:b/>
                <w:i/>
              </w:rPr>
              <w:t>relevant</w:t>
            </w:r>
            <w:r w:rsidRPr="000010A7">
              <w:t xml:space="preserve"> in tending to make the matter more probable or less probable.</w:t>
            </w:r>
          </w:p>
          <w:p w14:paraId="6F34BA5E" w14:textId="77777777" w:rsidR="00714726" w:rsidRPr="000010A7" w:rsidRDefault="00714726" w:rsidP="00714726">
            <w:pPr>
              <w:pStyle w:val="TableText"/>
            </w:pPr>
          </w:p>
          <w:p w14:paraId="54DEAD5F" w14:textId="77777777" w:rsidR="00714726" w:rsidRPr="000010A7" w:rsidRDefault="00714726" w:rsidP="00714726">
            <w:pPr>
              <w:pStyle w:val="TableText"/>
            </w:pPr>
            <w:r w:rsidRPr="000010A7">
              <w:t xml:space="preserve">Discuss and apply </w:t>
            </w:r>
            <w:r w:rsidR="004E5273" w:rsidRPr="000010A7">
              <w:t>VA guidance (including</w:t>
            </w:r>
            <w:r w:rsidRPr="000010A7">
              <w:t xml:space="preserve"> court precedents) on competency to determine whether the evidence from a particular source can establish a particular fact that requires the application of special expertise or first-hand knowledge of facts based on recollection or perception.  </w:t>
            </w:r>
            <w:r w:rsidRPr="000010A7">
              <w:rPr>
                <w:i/>
              </w:rPr>
              <w:t>Evidence from a source not having the requisite competency to offer a particular type of evidence has no probative value</w:t>
            </w:r>
            <w:r w:rsidRPr="000010A7">
              <w:t xml:space="preserve">. </w:t>
            </w:r>
          </w:p>
          <w:p w14:paraId="7DADEDB3" w14:textId="77777777" w:rsidR="00714726" w:rsidRPr="000010A7" w:rsidRDefault="00714726" w:rsidP="00714726">
            <w:pPr>
              <w:pStyle w:val="TableText"/>
            </w:pPr>
          </w:p>
          <w:p w14:paraId="1484E437" w14:textId="77777777" w:rsidR="00714726" w:rsidRPr="000010A7" w:rsidRDefault="00714726" w:rsidP="00714726">
            <w:r w:rsidRPr="000010A7">
              <w:t xml:space="preserve">Discuss and apply VA guidance on credibility where there is a reasonable factual basis (for example, demonstrable bias or inconsistency) for questioning believability. </w:t>
            </w:r>
            <w:r w:rsidRPr="000010A7">
              <w:rPr>
                <w:i/>
              </w:rPr>
              <w:t>Evidence that is not believable does not have probative value.</w:t>
            </w:r>
          </w:p>
        </w:tc>
      </w:tr>
      <w:tr w:rsidR="00714726" w:rsidRPr="000010A7" w14:paraId="79B8B97A" w14:textId="77777777" w:rsidTr="0040163C">
        <w:tc>
          <w:tcPr>
            <w:tcW w:w="1080" w:type="dxa"/>
            <w:shd w:val="clear" w:color="auto" w:fill="auto"/>
          </w:tcPr>
          <w:p w14:paraId="643053E5" w14:textId="77777777" w:rsidR="00714726" w:rsidRPr="000010A7" w:rsidRDefault="00714726" w:rsidP="0040163C">
            <w:pPr>
              <w:jc w:val="center"/>
            </w:pPr>
            <w:r w:rsidRPr="000010A7">
              <w:t>4</w:t>
            </w:r>
          </w:p>
        </w:tc>
        <w:tc>
          <w:tcPr>
            <w:tcW w:w="6570" w:type="dxa"/>
            <w:shd w:val="clear" w:color="auto" w:fill="auto"/>
          </w:tcPr>
          <w:p w14:paraId="2D0F6B0F" w14:textId="77777777" w:rsidR="00714726" w:rsidRPr="000010A7" w:rsidRDefault="00714726" w:rsidP="00714726">
            <w:pPr>
              <w:pStyle w:val="TableText"/>
            </w:pPr>
            <w:r w:rsidRPr="000010A7">
              <w:t>Resolve questions of relative weight or persuasiveness when there are various items of evidence that have been determined to</w:t>
            </w:r>
            <w:r w:rsidR="004E5273" w:rsidRPr="000010A7">
              <w:t xml:space="preserve"> have</w:t>
            </w:r>
            <w:r w:rsidRPr="000010A7">
              <w:t xml:space="preserve"> probative value in order to find facts (to determine what facts the evidence proves).  </w:t>
            </w:r>
          </w:p>
          <w:p w14:paraId="438AE362" w14:textId="77777777" w:rsidR="00714726" w:rsidRPr="000010A7" w:rsidRDefault="00714726" w:rsidP="00714726">
            <w:pPr>
              <w:pStyle w:val="TableText"/>
            </w:pPr>
          </w:p>
          <w:p w14:paraId="424204A3" w14:textId="77777777" w:rsidR="00714726" w:rsidRPr="000010A7" w:rsidRDefault="004E5273" w:rsidP="00714726">
            <w:pPr>
              <w:pStyle w:val="TableText"/>
            </w:pPr>
            <w:r w:rsidRPr="000010A7">
              <w:rPr>
                <w:b/>
                <w:i/>
              </w:rPr>
              <w:t>Note</w:t>
            </w:r>
            <w:r w:rsidRPr="000010A7">
              <w:t xml:space="preserve">:  </w:t>
            </w:r>
            <w:r w:rsidR="00714726" w:rsidRPr="000010A7">
              <w:t>It is important to explain why ce</w:t>
            </w:r>
            <w:r w:rsidR="00CD44C0" w:rsidRPr="000010A7">
              <w:t>rtain evidence was accepted a</w:t>
            </w:r>
            <w:r w:rsidR="00AA6EE9" w:rsidRPr="000010A7">
              <w:t>s</w:t>
            </w:r>
            <w:r w:rsidR="00CD44C0" w:rsidRPr="000010A7">
              <w:t xml:space="preserve"> more probative than</w:t>
            </w:r>
            <w:r w:rsidR="00714726" w:rsidRPr="000010A7">
              <w:t xml:space="preserve"> other evidence, especially when giving less value to evidence tending to support the benefit sought by the claimant/beneficiary.</w:t>
            </w:r>
          </w:p>
        </w:tc>
      </w:tr>
      <w:tr w:rsidR="00714726" w:rsidRPr="000010A7" w14:paraId="18361E7D" w14:textId="77777777" w:rsidTr="0040163C">
        <w:tc>
          <w:tcPr>
            <w:tcW w:w="1080" w:type="dxa"/>
            <w:shd w:val="clear" w:color="auto" w:fill="auto"/>
          </w:tcPr>
          <w:p w14:paraId="3EB07C79" w14:textId="77777777" w:rsidR="00714726" w:rsidRPr="000010A7" w:rsidRDefault="00714726" w:rsidP="0040163C">
            <w:pPr>
              <w:jc w:val="center"/>
            </w:pPr>
            <w:r w:rsidRPr="000010A7">
              <w:t>5</w:t>
            </w:r>
          </w:p>
        </w:tc>
        <w:tc>
          <w:tcPr>
            <w:tcW w:w="6570" w:type="dxa"/>
            <w:shd w:val="clear" w:color="auto" w:fill="auto"/>
          </w:tcPr>
          <w:p w14:paraId="13A4113D" w14:textId="77777777" w:rsidR="00714726" w:rsidRPr="000010A7" w:rsidRDefault="00714726" w:rsidP="00714726">
            <w:pPr>
              <w:pStyle w:val="TableText"/>
            </w:pPr>
            <w:r w:rsidRPr="000010A7">
              <w:t>Apply the found facts to draw corresponding conclusions of law necessary to support the decision outcome for the benef</w:t>
            </w:r>
            <w:r w:rsidR="00CD44C0" w:rsidRPr="000010A7">
              <w:t>it sought and procedural issue</w:t>
            </w:r>
            <w:r w:rsidRPr="000010A7">
              <w:t>.</w:t>
            </w:r>
            <w:r w:rsidR="006D1FB5" w:rsidRPr="000010A7">
              <w:t xml:space="preserve">  Clearly explain in the rating decision why the evidence is found to be persuasive or unpersuasive.</w:t>
            </w:r>
            <w:r w:rsidRPr="000010A7">
              <w:t xml:space="preserve">  </w:t>
            </w:r>
          </w:p>
        </w:tc>
      </w:tr>
    </w:tbl>
    <w:p w14:paraId="6F3C6644" w14:textId="77777777" w:rsidR="00714726" w:rsidRPr="000010A7" w:rsidRDefault="00714726" w:rsidP="00714726"/>
    <w:tbl>
      <w:tblPr>
        <w:tblW w:w="7740" w:type="dxa"/>
        <w:tblInd w:w="1728" w:type="dxa"/>
        <w:tblLook w:val="04A0" w:firstRow="1" w:lastRow="0" w:firstColumn="1" w:lastColumn="0" w:noHBand="0" w:noVBand="1"/>
      </w:tblPr>
      <w:tblGrid>
        <w:gridCol w:w="7740"/>
      </w:tblGrid>
      <w:tr w:rsidR="00714726" w:rsidRPr="000010A7" w14:paraId="6B0BC0BC" w14:textId="77777777" w:rsidTr="0040163C">
        <w:tc>
          <w:tcPr>
            <w:tcW w:w="7740" w:type="dxa"/>
            <w:shd w:val="clear" w:color="auto" w:fill="auto"/>
          </w:tcPr>
          <w:p w14:paraId="7B2C3C21" w14:textId="1A2F7698" w:rsidR="00714726" w:rsidRPr="000010A7" w:rsidRDefault="00714726" w:rsidP="00714726">
            <w:r w:rsidRPr="000010A7">
              <w:rPr>
                <w:b/>
                <w:i/>
              </w:rPr>
              <w:t>Reference</w:t>
            </w:r>
            <w:r w:rsidRPr="000010A7">
              <w:t>:  For more information on evidentiary concepts of admissibility, credibility</w:t>
            </w:r>
            <w:r w:rsidR="00CD44C0" w:rsidRPr="000010A7">
              <w:t>,</w:t>
            </w:r>
            <w:r w:rsidRPr="000010A7">
              <w:t xml:space="preserve"> and pr</w:t>
            </w:r>
            <w:r w:rsidR="00CD44C0" w:rsidRPr="000010A7">
              <w:t xml:space="preserve">obative value of evidence, </w:t>
            </w:r>
            <w:proofErr w:type="gramStart"/>
            <w:r w:rsidR="00CD44C0" w:rsidRPr="000010A7">
              <w:t>see</w:t>
            </w:r>
            <w:proofErr w:type="gramEnd"/>
            <w:r w:rsidR="00CD44C0" w:rsidRPr="000010A7">
              <w:t xml:space="preserve"> </w:t>
            </w:r>
            <w:r w:rsidRPr="000010A7">
              <w:t>M2</w:t>
            </w:r>
            <w:r w:rsidR="00CD44C0" w:rsidRPr="000010A7">
              <w:t>1-1, Part III, Subpart iv, 5.4.</w:t>
            </w:r>
          </w:p>
        </w:tc>
      </w:tr>
    </w:tbl>
    <w:p w14:paraId="3CEDEB27" w14:textId="77777777" w:rsidR="00714726" w:rsidRPr="000010A7" w:rsidRDefault="00714726" w:rsidP="00714726">
      <w:pPr>
        <w:tabs>
          <w:tab w:val="left" w:pos="9360"/>
        </w:tabs>
        <w:ind w:left="1714"/>
      </w:pPr>
      <w:r w:rsidRPr="000010A7">
        <w:rPr>
          <w:u w:val="single"/>
        </w:rPr>
        <w:tab/>
      </w:r>
    </w:p>
    <w:p w14:paraId="0E62FE94" w14:textId="77777777" w:rsidR="00714726" w:rsidRPr="000010A7" w:rsidRDefault="00714726" w:rsidP="00CD44C0"/>
    <w:tbl>
      <w:tblPr>
        <w:tblW w:w="0" w:type="auto"/>
        <w:tblLook w:val="04A0" w:firstRow="1" w:lastRow="0" w:firstColumn="1" w:lastColumn="0" w:noHBand="0" w:noVBand="1"/>
      </w:tblPr>
      <w:tblGrid>
        <w:gridCol w:w="1728"/>
        <w:gridCol w:w="7740"/>
      </w:tblGrid>
      <w:tr w:rsidR="00C530C4" w:rsidRPr="000010A7" w14:paraId="70A8E60D" w14:textId="77777777" w:rsidTr="003F2536">
        <w:tc>
          <w:tcPr>
            <w:tcW w:w="1728" w:type="dxa"/>
            <w:shd w:val="clear" w:color="auto" w:fill="auto"/>
          </w:tcPr>
          <w:p w14:paraId="06CD2B37" w14:textId="77777777" w:rsidR="00C530C4" w:rsidRPr="000010A7" w:rsidRDefault="00C530C4" w:rsidP="00CD44C0">
            <w:pPr>
              <w:rPr>
                <w:b/>
                <w:sz w:val="22"/>
              </w:rPr>
            </w:pPr>
            <w:r w:rsidRPr="000010A7">
              <w:rPr>
                <w:b/>
                <w:sz w:val="22"/>
              </w:rPr>
              <w:t>g.  RVSR Responsibility for Reviewing Evidence</w:t>
            </w:r>
          </w:p>
        </w:tc>
        <w:tc>
          <w:tcPr>
            <w:tcW w:w="7740" w:type="dxa"/>
            <w:shd w:val="clear" w:color="auto" w:fill="auto"/>
          </w:tcPr>
          <w:p w14:paraId="07FFA058" w14:textId="77777777" w:rsidR="00C530C4" w:rsidRPr="000010A7" w:rsidRDefault="00AA6EE9" w:rsidP="00C530C4">
            <w:r w:rsidRPr="000010A7">
              <w:t xml:space="preserve">The </w:t>
            </w:r>
            <w:r w:rsidR="008A40FA" w:rsidRPr="000010A7">
              <w:t>Rating Veterans Service Representative (</w:t>
            </w:r>
            <w:r w:rsidRPr="000010A7">
              <w:t>R</w:t>
            </w:r>
            <w:r w:rsidR="00C530C4" w:rsidRPr="000010A7">
              <w:t>V</w:t>
            </w:r>
            <w:r w:rsidRPr="000010A7">
              <w:t>S</w:t>
            </w:r>
            <w:r w:rsidR="00C530C4" w:rsidRPr="000010A7">
              <w:t>R</w:t>
            </w:r>
            <w:r w:rsidR="008A40FA" w:rsidRPr="000010A7">
              <w:t>)</w:t>
            </w:r>
            <w:r w:rsidR="00C530C4" w:rsidRPr="000010A7">
              <w:t xml:space="preserve"> is responsible for reviewing the evidence, including</w:t>
            </w:r>
          </w:p>
          <w:p w14:paraId="74B70EC1" w14:textId="77777777" w:rsidR="00C530C4" w:rsidRPr="000010A7" w:rsidRDefault="00C530C4" w:rsidP="00C530C4"/>
          <w:p w14:paraId="2DBE0A8F" w14:textId="77777777" w:rsidR="00C530C4" w:rsidRPr="000010A7" w:rsidRDefault="00C530C4" w:rsidP="00C17F48">
            <w:pPr>
              <w:numPr>
                <w:ilvl w:val="0"/>
                <w:numId w:val="22"/>
              </w:numPr>
              <w:ind w:left="158" w:hanging="187"/>
            </w:pPr>
            <w:r w:rsidRPr="000010A7">
              <w:t>recognizing the need for evidence in relation to a claim, and</w:t>
            </w:r>
          </w:p>
          <w:p w14:paraId="6EA7E0F2" w14:textId="77777777" w:rsidR="00C530C4" w:rsidRPr="000010A7" w:rsidRDefault="00C530C4" w:rsidP="00C17F48">
            <w:pPr>
              <w:numPr>
                <w:ilvl w:val="0"/>
                <w:numId w:val="23"/>
              </w:numPr>
              <w:ind w:left="158" w:hanging="187"/>
            </w:pPr>
            <w:r w:rsidRPr="000010A7">
              <w:t>determining the</w:t>
            </w:r>
          </w:p>
          <w:p w14:paraId="396D8B51" w14:textId="77777777" w:rsidR="00C530C4" w:rsidRPr="000010A7" w:rsidRDefault="00C530C4" w:rsidP="00C17F48">
            <w:pPr>
              <w:numPr>
                <w:ilvl w:val="0"/>
                <w:numId w:val="24"/>
              </w:numPr>
              <w:ind w:left="346" w:hanging="187"/>
            </w:pPr>
            <w:r w:rsidRPr="000010A7">
              <w:t>admissibility of the evidence</w:t>
            </w:r>
          </w:p>
          <w:p w14:paraId="3A866F61" w14:textId="77777777" w:rsidR="00C530C4" w:rsidRPr="000010A7" w:rsidRDefault="00C530C4" w:rsidP="00C17F48">
            <w:pPr>
              <w:numPr>
                <w:ilvl w:val="0"/>
                <w:numId w:val="25"/>
              </w:numPr>
              <w:ind w:left="346" w:hanging="187"/>
            </w:pPr>
            <w:r w:rsidRPr="000010A7">
              <w:t>weight to be afforded evidence that is presented</w:t>
            </w:r>
          </w:p>
          <w:p w14:paraId="526BA49E" w14:textId="77777777" w:rsidR="00C530C4" w:rsidRPr="000010A7" w:rsidRDefault="00C530C4" w:rsidP="00C17F48">
            <w:pPr>
              <w:numPr>
                <w:ilvl w:val="0"/>
                <w:numId w:val="26"/>
              </w:numPr>
              <w:ind w:left="346" w:hanging="187"/>
            </w:pPr>
            <w:r w:rsidRPr="000010A7">
              <w:t>need for additional evidence, and</w:t>
            </w:r>
          </w:p>
          <w:p w14:paraId="06972D13" w14:textId="77777777" w:rsidR="00C530C4" w:rsidRPr="000010A7" w:rsidRDefault="00C530C4" w:rsidP="00C17F48">
            <w:pPr>
              <w:numPr>
                <w:ilvl w:val="0"/>
                <w:numId w:val="27"/>
              </w:numPr>
              <w:ind w:left="346" w:hanging="187"/>
            </w:pPr>
            <w:proofErr w:type="gramStart"/>
            <w:r w:rsidRPr="000010A7">
              <w:t>need</w:t>
            </w:r>
            <w:proofErr w:type="gramEnd"/>
            <w:r w:rsidRPr="000010A7">
              <w:t xml:space="preserve"> for a physical examination.</w:t>
            </w:r>
          </w:p>
        </w:tc>
      </w:tr>
    </w:tbl>
    <w:p w14:paraId="1A8E6AC0" w14:textId="77777777" w:rsidR="00C530C4" w:rsidRPr="000010A7" w:rsidRDefault="00C530C4" w:rsidP="00C530C4">
      <w:pPr>
        <w:tabs>
          <w:tab w:val="left" w:pos="9360"/>
        </w:tabs>
        <w:ind w:left="1714"/>
      </w:pPr>
      <w:r w:rsidRPr="000010A7">
        <w:rPr>
          <w:u w:val="single"/>
        </w:rPr>
        <w:tab/>
      </w:r>
    </w:p>
    <w:p w14:paraId="64A1FC1F" w14:textId="77777777" w:rsidR="00C530C4" w:rsidRPr="000010A7" w:rsidRDefault="00C530C4" w:rsidP="00C530C4">
      <w:pPr>
        <w:ind w:left="1714"/>
      </w:pPr>
    </w:p>
    <w:tbl>
      <w:tblPr>
        <w:tblW w:w="0" w:type="auto"/>
        <w:tblLayout w:type="fixed"/>
        <w:tblLook w:val="0000" w:firstRow="0" w:lastRow="0" w:firstColumn="0" w:lastColumn="0" w:noHBand="0" w:noVBand="0"/>
      </w:tblPr>
      <w:tblGrid>
        <w:gridCol w:w="1728"/>
        <w:gridCol w:w="7740"/>
      </w:tblGrid>
      <w:tr w:rsidR="00AD5525" w:rsidRPr="000010A7" w14:paraId="1060B133" w14:textId="77777777" w:rsidTr="00024121">
        <w:tc>
          <w:tcPr>
            <w:tcW w:w="1728" w:type="dxa"/>
            <w:shd w:val="clear" w:color="auto" w:fill="auto"/>
          </w:tcPr>
          <w:p w14:paraId="35523031" w14:textId="29E5692E" w:rsidR="00AD5525" w:rsidRPr="000010A7" w:rsidRDefault="00C530C4">
            <w:pPr>
              <w:pStyle w:val="Heading5"/>
            </w:pPr>
            <w:proofErr w:type="gramStart"/>
            <w:r w:rsidRPr="000010A7">
              <w:t>h</w:t>
            </w:r>
            <w:r w:rsidR="00AD5525" w:rsidRPr="000010A7">
              <w:t>.  Provisions</w:t>
            </w:r>
            <w:proofErr w:type="gramEnd"/>
            <w:r w:rsidR="00AD5525" w:rsidRPr="000010A7">
              <w:t xml:space="preserve"> Applied by the RVSR</w:t>
            </w:r>
            <w:r w:rsidR="003D0A79" w:rsidRPr="000010A7">
              <w:t xml:space="preserve"> in Evaluating Evidence</w:t>
            </w:r>
          </w:p>
        </w:tc>
        <w:tc>
          <w:tcPr>
            <w:tcW w:w="7740" w:type="dxa"/>
            <w:shd w:val="clear" w:color="auto" w:fill="auto"/>
          </w:tcPr>
          <w:p w14:paraId="2D0F961A" w14:textId="63FAADE1" w:rsidR="00AD5525" w:rsidRPr="000010A7" w:rsidRDefault="00AD5525" w:rsidP="001B1806">
            <w:pPr>
              <w:pStyle w:val="BlockText"/>
              <w:rPr>
                <w:b/>
              </w:rPr>
            </w:pPr>
            <w:r w:rsidRPr="000010A7">
              <w:t>When making decisions or taking action on claims that require a rating decision, the RVSR must apply the provisions of all pertinent</w:t>
            </w:r>
          </w:p>
          <w:p w14:paraId="49FE362A" w14:textId="77777777" w:rsidR="00AD5525" w:rsidRPr="000010A7" w:rsidRDefault="00AD5525" w:rsidP="001B1806">
            <w:pPr>
              <w:pStyle w:val="BlockText"/>
              <w:rPr>
                <w:b/>
              </w:rPr>
            </w:pPr>
          </w:p>
          <w:p w14:paraId="3870D77A" w14:textId="77777777" w:rsidR="00AD5525" w:rsidRPr="000010A7" w:rsidRDefault="00AD5525">
            <w:pPr>
              <w:pStyle w:val="BulletText1"/>
            </w:pPr>
            <w:r w:rsidRPr="000010A7">
              <w:t>laws</w:t>
            </w:r>
          </w:p>
          <w:p w14:paraId="5C074493" w14:textId="77777777" w:rsidR="00AD5525" w:rsidRPr="000010A7" w:rsidRDefault="00AD5525">
            <w:pPr>
              <w:pStyle w:val="BulletText1"/>
            </w:pPr>
            <w:r w:rsidRPr="000010A7">
              <w:t>regulations</w:t>
            </w:r>
          </w:p>
          <w:p w14:paraId="1DDEB2C4" w14:textId="77777777" w:rsidR="00AD5525" w:rsidRPr="000010A7" w:rsidRDefault="00AD5525">
            <w:pPr>
              <w:pStyle w:val="BulletText1"/>
            </w:pPr>
            <w:r w:rsidRPr="000010A7">
              <w:t>schedules for rating disabilities</w:t>
            </w:r>
          </w:p>
          <w:p w14:paraId="037CCA3F" w14:textId="77777777" w:rsidR="00AD5525" w:rsidRPr="000010A7" w:rsidRDefault="00AD5525">
            <w:pPr>
              <w:pStyle w:val="BulletText1"/>
            </w:pPr>
            <w:r w:rsidRPr="000010A7">
              <w:t>policy statements</w:t>
            </w:r>
          </w:p>
          <w:p w14:paraId="65677979" w14:textId="77777777" w:rsidR="00AD5525" w:rsidRPr="000010A7" w:rsidRDefault="00AD5525">
            <w:pPr>
              <w:pStyle w:val="BulletText1"/>
            </w:pPr>
            <w:r w:rsidRPr="000010A7">
              <w:t>procedures</w:t>
            </w:r>
          </w:p>
          <w:p w14:paraId="4DAC05B3" w14:textId="77777777" w:rsidR="00AD5525" w:rsidRPr="000010A7" w:rsidRDefault="00AD5525">
            <w:pPr>
              <w:pStyle w:val="BulletText1"/>
            </w:pPr>
            <w:r w:rsidRPr="000010A7">
              <w:t>administrators’ decisions</w:t>
            </w:r>
          </w:p>
          <w:p w14:paraId="5B638FB3" w14:textId="77777777" w:rsidR="00AD5525" w:rsidRPr="000010A7" w:rsidRDefault="00AD5525">
            <w:pPr>
              <w:pStyle w:val="BulletText1"/>
            </w:pPr>
            <w:r w:rsidRPr="000010A7">
              <w:t>Secretaries’ decisions</w:t>
            </w:r>
          </w:p>
          <w:p w14:paraId="158CA08B" w14:textId="77777777" w:rsidR="00AD5525" w:rsidRPr="000010A7" w:rsidRDefault="00AD5525">
            <w:pPr>
              <w:pStyle w:val="BulletText1"/>
            </w:pPr>
            <w:r w:rsidRPr="000010A7">
              <w:t xml:space="preserve">Court of Appeals for </w:t>
            </w:r>
            <w:r w:rsidR="00865D9A" w:rsidRPr="000010A7">
              <w:t>Veteran</w:t>
            </w:r>
            <w:r w:rsidRPr="000010A7">
              <w:t>s Claims (CAVC) precedents, and</w:t>
            </w:r>
          </w:p>
          <w:p w14:paraId="4EF7B828" w14:textId="1A83C590" w:rsidR="00AD5525" w:rsidRPr="000010A7" w:rsidRDefault="00AD5525">
            <w:pPr>
              <w:pStyle w:val="BulletText1"/>
            </w:pPr>
            <w:proofErr w:type="gramStart"/>
            <w:r w:rsidRPr="000010A7">
              <w:t>other</w:t>
            </w:r>
            <w:proofErr w:type="gramEnd"/>
            <w:r w:rsidRPr="000010A7">
              <w:t xml:space="preserve"> legal precedents governing VA.</w:t>
            </w:r>
          </w:p>
        </w:tc>
      </w:tr>
    </w:tbl>
    <w:p w14:paraId="687A9CC2" w14:textId="77777777" w:rsidR="00AD5525" w:rsidRPr="000010A7" w:rsidRDefault="00AD5525">
      <w:pPr>
        <w:pStyle w:val="BlockLine"/>
      </w:pPr>
    </w:p>
    <w:tbl>
      <w:tblPr>
        <w:tblW w:w="0" w:type="auto"/>
        <w:tblLook w:val="04A0" w:firstRow="1" w:lastRow="0" w:firstColumn="1" w:lastColumn="0" w:noHBand="0" w:noVBand="1"/>
      </w:tblPr>
      <w:tblGrid>
        <w:gridCol w:w="1728"/>
        <w:gridCol w:w="7740"/>
      </w:tblGrid>
      <w:tr w:rsidR="00CD44C0" w:rsidRPr="000010A7" w14:paraId="2DAEB806" w14:textId="77777777" w:rsidTr="0040163C">
        <w:tc>
          <w:tcPr>
            <w:tcW w:w="1728" w:type="dxa"/>
            <w:shd w:val="clear" w:color="auto" w:fill="auto"/>
          </w:tcPr>
          <w:p w14:paraId="42DCB743" w14:textId="77777777" w:rsidR="00CD44C0" w:rsidRPr="000010A7" w:rsidRDefault="00C530C4" w:rsidP="00CD44C0">
            <w:pPr>
              <w:rPr>
                <w:b/>
                <w:sz w:val="22"/>
              </w:rPr>
            </w:pPr>
            <w:proofErr w:type="spellStart"/>
            <w:r w:rsidRPr="000010A7">
              <w:rPr>
                <w:b/>
                <w:sz w:val="22"/>
              </w:rPr>
              <w:t>i</w:t>
            </w:r>
            <w:proofErr w:type="spellEnd"/>
            <w:r w:rsidR="00CD44C0" w:rsidRPr="000010A7">
              <w:rPr>
                <w:b/>
                <w:sz w:val="22"/>
              </w:rPr>
              <w:t>.  Effect of Rating Schedule Readjustment</w:t>
            </w:r>
          </w:p>
        </w:tc>
        <w:tc>
          <w:tcPr>
            <w:tcW w:w="7740" w:type="dxa"/>
            <w:shd w:val="clear" w:color="auto" w:fill="auto"/>
          </w:tcPr>
          <w:p w14:paraId="286F57B0" w14:textId="77777777" w:rsidR="00CD44C0" w:rsidRPr="000010A7" w:rsidRDefault="00CD44C0" w:rsidP="00CD44C0">
            <w:r w:rsidRPr="000010A7">
              <w:t xml:space="preserve">When the rating schedule is readjusted, in no event shall the readjustment cause a Veteran’s disability rating in effect on the effective date of the readjustment to be reduced unless an improvement in the disability is shown to have occurred, even if the combined evaluation is not reduced, as indicated in </w:t>
            </w:r>
            <w:hyperlink r:id="rId23" w:history="1">
              <w:r w:rsidRPr="000010A7">
                <w:rPr>
                  <w:rStyle w:val="Hyperlink"/>
                </w:rPr>
                <w:t>VAOPGCPREC 19-92</w:t>
              </w:r>
            </w:hyperlink>
            <w:r w:rsidRPr="000010A7">
              <w:t xml:space="preserve">, September 29, 1992, and </w:t>
            </w:r>
            <w:hyperlink r:id="rId24" w:history="1">
              <w:r w:rsidRPr="000010A7">
                <w:rPr>
                  <w:rStyle w:val="Hyperlink"/>
                </w:rPr>
                <w:t>38 U.S.C. 1155</w:t>
              </w:r>
            </w:hyperlink>
            <w:r w:rsidRPr="000010A7">
              <w:t>.</w:t>
            </w:r>
          </w:p>
          <w:p w14:paraId="5283C651" w14:textId="77777777" w:rsidR="00CD44C0" w:rsidRPr="000010A7" w:rsidRDefault="00CD44C0" w:rsidP="00CD44C0"/>
          <w:p w14:paraId="245BE0ED" w14:textId="77777777" w:rsidR="00CD44C0" w:rsidRPr="000010A7" w:rsidRDefault="00CD44C0" w:rsidP="00CD44C0">
            <w:pPr>
              <w:contextualSpacing/>
            </w:pPr>
            <w:r w:rsidRPr="000010A7">
              <w:t xml:space="preserve">This precedent opinion also provided that when a Veteran is receiving the minimum evaluation for a condition at the time the rating schedule is revised, and the condition subsequently undergoes an exacerbation resulting in a higher evaluation, if the condition returns to the same, symptom-free status it was in at the time of the rating schedule change, a </w:t>
            </w:r>
            <w:proofErr w:type="spellStart"/>
            <w:r w:rsidRPr="000010A7">
              <w:t>noncompensable</w:t>
            </w:r>
            <w:proofErr w:type="spellEnd"/>
            <w:r w:rsidRPr="000010A7">
              <w:t xml:space="preserve"> evaluation under the new criteria will be assigned.</w:t>
            </w:r>
          </w:p>
          <w:p w14:paraId="73D0B338" w14:textId="77777777" w:rsidR="00CD44C0" w:rsidRPr="000010A7" w:rsidRDefault="00CD44C0" w:rsidP="00CD44C0"/>
          <w:p w14:paraId="2878645B" w14:textId="77777777" w:rsidR="00CD44C0" w:rsidRPr="000010A7" w:rsidRDefault="00CD44C0" w:rsidP="00AC1044">
            <w:pPr>
              <w:pStyle w:val="ListParagraph"/>
              <w:ind w:left="0"/>
            </w:pPr>
            <w:r w:rsidRPr="000010A7">
              <w:rPr>
                <w:b/>
                <w:i/>
              </w:rPr>
              <w:t>Note</w:t>
            </w:r>
            <w:r w:rsidRPr="000010A7">
              <w:t xml:space="preserve">:  Revisions of criteria for rating psychiatric disorders are considered a liberalizing law/VA issue as indicated in </w:t>
            </w:r>
            <w:hyperlink r:id="rId25" w:anchor="bmm" w:history="1">
              <w:r w:rsidRPr="000010A7">
                <w:rPr>
                  <w:rStyle w:val="Hyperlink"/>
                  <w:i/>
                </w:rPr>
                <w:t xml:space="preserve">Sabol v. </w:t>
              </w:r>
              <w:proofErr w:type="spellStart"/>
              <w:r w:rsidRPr="000010A7">
                <w:rPr>
                  <w:rStyle w:val="Hyperlink"/>
                  <w:i/>
                </w:rPr>
                <w:t>Derwinski</w:t>
              </w:r>
              <w:proofErr w:type="spellEnd"/>
            </w:hyperlink>
            <w:r w:rsidRPr="000010A7">
              <w:t xml:space="preserve">, U.S. </w:t>
            </w:r>
            <w:proofErr w:type="spellStart"/>
            <w:r w:rsidRPr="000010A7">
              <w:t>Vet.App</w:t>
            </w:r>
            <w:proofErr w:type="spellEnd"/>
            <w:r w:rsidRPr="000010A7">
              <w:t xml:space="preserve">. No. 90-1123 (March 3, 1992), </w:t>
            </w:r>
            <w:hyperlink r:id="rId26" w:history="1">
              <w:r w:rsidRPr="000010A7">
                <w:rPr>
                  <w:rStyle w:val="Hyperlink"/>
                </w:rPr>
                <w:t>38 U.S.C. 5110(g)</w:t>
              </w:r>
            </w:hyperlink>
            <w:r w:rsidR="00A15CA6" w:rsidRPr="000010A7">
              <w:t xml:space="preserve">, </w:t>
            </w:r>
            <w:hyperlink r:id="rId27" w:history="1">
              <w:r w:rsidRPr="000010A7">
                <w:rPr>
                  <w:rStyle w:val="Hyperlink"/>
                </w:rPr>
                <w:t>38 CFR 3.114</w:t>
              </w:r>
            </w:hyperlink>
            <w:r w:rsidRPr="000010A7">
              <w:t>,</w:t>
            </w:r>
            <w:r w:rsidR="00764C38" w:rsidRPr="000010A7">
              <w:t xml:space="preserve"> and </w:t>
            </w:r>
            <w:hyperlink r:id="rId28" w:history="1">
              <w:r w:rsidR="00764C38" w:rsidRPr="000010A7">
                <w:rPr>
                  <w:rStyle w:val="Hyperlink"/>
                </w:rPr>
                <w:t xml:space="preserve">VAOPGCPREC </w:t>
              </w:r>
              <w:r w:rsidRPr="000010A7">
                <w:rPr>
                  <w:rStyle w:val="Hyperlink"/>
                </w:rPr>
                <w:t>9-92</w:t>
              </w:r>
            </w:hyperlink>
            <w:r w:rsidRPr="000010A7">
              <w:t xml:space="preserve">, March 25, 1992. </w:t>
            </w:r>
          </w:p>
        </w:tc>
      </w:tr>
    </w:tbl>
    <w:p w14:paraId="22D6842A" w14:textId="77777777" w:rsidR="00CD44C0" w:rsidRPr="000010A7" w:rsidRDefault="00CD44C0" w:rsidP="00CD44C0">
      <w:pPr>
        <w:tabs>
          <w:tab w:val="left" w:pos="9360"/>
        </w:tabs>
        <w:ind w:left="1714"/>
      </w:pPr>
      <w:r w:rsidRPr="000010A7">
        <w:rPr>
          <w:u w:val="single"/>
        </w:rPr>
        <w:tab/>
      </w:r>
    </w:p>
    <w:p w14:paraId="1A990BC3" w14:textId="77777777" w:rsidR="00CD44C0" w:rsidRPr="000010A7" w:rsidRDefault="00CD44C0" w:rsidP="00CD44C0">
      <w:pPr>
        <w:ind w:left="1714"/>
      </w:pPr>
    </w:p>
    <w:tbl>
      <w:tblPr>
        <w:tblW w:w="0" w:type="auto"/>
        <w:tblLook w:val="04A0" w:firstRow="1" w:lastRow="0" w:firstColumn="1" w:lastColumn="0" w:noHBand="0" w:noVBand="1"/>
      </w:tblPr>
      <w:tblGrid>
        <w:gridCol w:w="1728"/>
        <w:gridCol w:w="7740"/>
      </w:tblGrid>
      <w:tr w:rsidR="00341E78" w:rsidRPr="000010A7" w14:paraId="2A788E84" w14:textId="77777777" w:rsidTr="0040163C">
        <w:tc>
          <w:tcPr>
            <w:tcW w:w="1728" w:type="dxa"/>
            <w:shd w:val="clear" w:color="auto" w:fill="auto"/>
          </w:tcPr>
          <w:p w14:paraId="7C64FCC5" w14:textId="77777777" w:rsidR="00341E78" w:rsidRPr="000010A7" w:rsidRDefault="00C530C4" w:rsidP="00341E78">
            <w:pPr>
              <w:rPr>
                <w:b/>
                <w:sz w:val="22"/>
              </w:rPr>
            </w:pPr>
            <w:r w:rsidRPr="000010A7">
              <w:rPr>
                <w:b/>
                <w:sz w:val="22"/>
              </w:rPr>
              <w:t>j</w:t>
            </w:r>
            <w:r w:rsidR="00341E78" w:rsidRPr="000010A7">
              <w:rPr>
                <w:b/>
                <w:sz w:val="22"/>
              </w:rPr>
              <w:t>.  Standards of Evidentiary Proof</w:t>
            </w:r>
          </w:p>
        </w:tc>
        <w:tc>
          <w:tcPr>
            <w:tcW w:w="7740" w:type="dxa"/>
            <w:shd w:val="clear" w:color="auto" w:fill="auto"/>
          </w:tcPr>
          <w:p w14:paraId="494215F7" w14:textId="6C403E41" w:rsidR="00341E78" w:rsidRPr="000010A7" w:rsidRDefault="00341E78" w:rsidP="00341E78">
            <w:pPr>
              <w:pStyle w:val="BlockText"/>
            </w:pPr>
            <w:r w:rsidRPr="000010A7">
              <w:t xml:space="preserve">Every substantive or procedural factual matter must have a </w:t>
            </w:r>
            <w:r w:rsidRPr="000010A7">
              <w:rPr>
                <w:b/>
                <w:i/>
              </w:rPr>
              <w:t xml:space="preserve">standard of proof </w:t>
            </w:r>
            <w:r w:rsidRPr="000010A7">
              <w:t>wheth</w:t>
            </w:r>
            <w:r w:rsidR="00B02E11" w:rsidRPr="000010A7">
              <w:t>er stated explicitly</w:t>
            </w:r>
            <w:r w:rsidR="008A40FA" w:rsidRPr="000010A7">
              <w:t xml:space="preserve"> or not</w:t>
            </w:r>
            <w:r w:rsidR="00B02E11" w:rsidRPr="000010A7">
              <w:t>.  Standard of proof</w:t>
            </w:r>
            <w:r w:rsidRPr="000010A7">
              <w:t xml:space="preserve"> specifies the degree of persuasion or confidence in the evidence with regard to the subject of the proof that is required in order to find a fact proven.</w:t>
            </w:r>
          </w:p>
          <w:p w14:paraId="07517D13" w14:textId="77777777" w:rsidR="00341E78" w:rsidRPr="000010A7" w:rsidRDefault="00341E78" w:rsidP="00341E78">
            <w:pPr>
              <w:pStyle w:val="BlockText"/>
            </w:pPr>
          </w:p>
          <w:p w14:paraId="5C37FB4C" w14:textId="77777777" w:rsidR="00341E78" w:rsidRPr="000010A7" w:rsidRDefault="00341E78" w:rsidP="00341E78">
            <w:pPr>
              <w:pStyle w:val="BlockText"/>
            </w:pPr>
            <w:r w:rsidRPr="000010A7">
              <w:rPr>
                <w:b/>
                <w:i/>
              </w:rPr>
              <w:t>Note</w:t>
            </w:r>
            <w:r w:rsidR="00B02E11" w:rsidRPr="000010A7">
              <w:t>:  The application of standard</w:t>
            </w:r>
            <w:r w:rsidRPr="000010A7">
              <w:t xml:space="preserve"> of proof is qualitative, not quantitative.  </w:t>
            </w:r>
            <w:r w:rsidR="008A3D64" w:rsidRPr="000010A7">
              <w:t xml:space="preserve">The question is weight or persuasiveness of the evidence and not the number of items of evidence.  </w:t>
            </w:r>
            <w:r w:rsidRPr="000010A7">
              <w:t>Evidence is not necessarily in relative equ</w:t>
            </w:r>
            <w:r w:rsidR="00B02E11" w:rsidRPr="000010A7">
              <w:t xml:space="preserve">ipoise when the number </w:t>
            </w:r>
            <w:r w:rsidRPr="000010A7">
              <w:t xml:space="preserve">of acceptable items of evidence tending to support a fact is equal to the number of items tending to not support a fact.   </w:t>
            </w:r>
          </w:p>
          <w:p w14:paraId="6AB071B1" w14:textId="77777777" w:rsidR="00341E78" w:rsidRPr="000010A7" w:rsidRDefault="00341E78" w:rsidP="00341E78">
            <w:pPr>
              <w:pStyle w:val="BlockText"/>
            </w:pPr>
          </w:p>
          <w:p w14:paraId="0E068066" w14:textId="77777777" w:rsidR="00341E78" w:rsidRPr="000010A7" w:rsidRDefault="00341E78" w:rsidP="00341E78">
            <w:r w:rsidRPr="000010A7">
              <w:t xml:space="preserve">The table below describes the different standards of evidentiary proof.  </w:t>
            </w:r>
          </w:p>
        </w:tc>
      </w:tr>
    </w:tbl>
    <w:p w14:paraId="6E00200A" w14:textId="77777777" w:rsidR="00341E78" w:rsidRPr="000010A7" w:rsidRDefault="00341E78" w:rsidP="00341E78">
      <w:pPr>
        <w:tabs>
          <w:tab w:val="left" w:pos="9360"/>
        </w:tabs>
        <w:ind w:left="1714"/>
        <w:rPr>
          <w:u w:val="single"/>
        </w:rPr>
      </w:pPr>
    </w:p>
    <w:tbl>
      <w:tblPr>
        <w:tblW w:w="0" w:type="auto"/>
        <w:tblInd w:w="1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4"/>
        <w:gridCol w:w="4158"/>
      </w:tblGrid>
      <w:tr w:rsidR="00341E78" w:rsidRPr="000010A7" w14:paraId="12997A29" w14:textId="77777777" w:rsidTr="008A40FA">
        <w:tc>
          <w:tcPr>
            <w:tcW w:w="3704" w:type="dxa"/>
            <w:shd w:val="clear" w:color="auto" w:fill="auto"/>
          </w:tcPr>
          <w:p w14:paraId="15DA016B" w14:textId="77777777" w:rsidR="00341E78" w:rsidRPr="000010A7" w:rsidRDefault="00341E78" w:rsidP="0040163C">
            <w:pPr>
              <w:tabs>
                <w:tab w:val="left" w:pos="9360"/>
              </w:tabs>
              <w:jc w:val="center"/>
              <w:rPr>
                <w:u w:val="single"/>
              </w:rPr>
            </w:pPr>
            <w:r w:rsidRPr="000010A7">
              <w:rPr>
                <w:b/>
              </w:rPr>
              <w:t>Standard</w:t>
            </w:r>
          </w:p>
        </w:tc>
        <w:tc>
          <w:tcPr>
            <w:tcW w:w="4158" w:type="dxa"/>
            <w:shd w:val="clear" w:color="auto" w:fill="auto"/>
          </w:tcPr>
          <w:p w14:paraId="67751AFE" w14:textId="77777777" w:rsidR="00341E78" w:rsidRPr="000010A7" w:rsidRDefault="00341E78" w:rsidP="0040163C">
            <w:pPr>
              <w:tabs>
                <w:tab w:val="left" w:pos="9360"/>
              </w:tabs>
              <w:jc w:val="center"/>
              <w:rPr>
                <w:u w:val="single"/>
              </w:rPr>
            </w:pPr>
            <w:r w:rsidRPr="000010A7">
              <w:rPr>
                <w:b/>
              </w:rPr>
              <w:t>Description</w:t>
            </w:r>
          </w:p>
        </w:tc>
      </w:tr>
      <w:tr w:rsidR="00341E78" w:rsidRPr="000010A7" w14:paraId="75935179" w14:textId="77777777" w:rsidTr="008A40FA">
        <w:tc>
          <w:tcPr>
            <w:tcW w:w="3704" w:type="dxa"/>
            <w:shd w:val="clear" w:color="auto" w:fill="auto"/>
          </w:tcPr>
          <w:p w14:paraId="24F04259" w14:textId="77777777" w:rsidR="00341E78" w:rsidRPr="000010A7" w:rsidRDefault="00B02E11" w:rsidP="0040163C">
            <w:pPr>
              <w:tabs>
                <w:tab w:val="left" w:pos="9360"/>
              </w:tabs>
              <w:rPr>
                <w:u w:val="single"/>
              </w:rPr>
            </w:pPr>
            <w:r w:rsidRPr="000010A7">
              <w:t>r</w:t>
            </w:r>
            <w:r w:rsidR="00341E78" w:rsidRPr="000010A7">
              <w:t>elative equipoise</w:t>
            </w:r>
          </w:p>
        </w:tc>
        <w:tc>
          <w:tcPr>
            <w:tcW w:w="4158" w:type="dxa"/>
            <w:shd w:val="clear" w:color="auto" w:fill="auto"/>
          </w:tcPr>
          <w:p w14:paraId="302E26CD" w14:textId="77777777" w:rsidR="00341E78" w:rsidRPr="000010A7" w:rsidRDefault="00341E78" w:rsidP="0040163C">
            <w:pPr>
              <w:tabs>
                <w:tab w:val="left" w:pos="9360"/>
              </w:tabs>
              <w:rPr>
                <w:u w:val="single"/>
              </w:rPr>
            </w:pPr>
            <w:r w:rsidRPr="000010A7">
              <w:t>Evidence must persuade the decision maker that the fact is as likely as not.</w:t>
            </w:r>
          </w:p>
        </w:tc>
      </w:tr>
      <w:tr w:rsidR="00341E78" w:rsidRPr="000010A7" w14:paraId="5A369503" w14:textId="77777777" w:rsidTr="008A40FA">
        <w:tc>
          <w:tcPr>
            <w:tcW w:w="3704" w:type="dxa"/>
            <w:shd w:val="clear" w:color="auto" w:fill="auto"/>
          </w:tcPr>
          <w:p w14:paraId="2FA98858" w14:textId="77777777" w:rsidR="00341E78" w:rsidRPr="000010A7" w:rsidRDefault="00B02E11" w:rsidP="0040163C">
            <w:pPr>
              <w:tabs>
                <w:tab w:val="left" w:pos="9360"/>
              </w:tabs>
              <w:rPr>
                <w:u w:val="single"/>
              </w:rPr>
            </w:pPr>
            <w:r w:rsidRPr="000010A7">
              <w:t>p</w:t>
            </w:r>
            <w:r w:rsidR="00341E78" w:rsidRPr="000010A7">
              <w:t>reponderance of the evidence</w:t>
            </w:r>
          </w:p>
        </w:tc>
        <w:tc>
          <w:tcPr>
            <w:tcW w:w="4158" w:type="dxa"/>
            <w:shd w:val="clear" w:color="auto" w:fill="auto"/>
          </w:tcPr>
          <w:p w14:paraId="15E05557" w14:textId="77777777" w:rsidR="00341E78" w:rsidRPr="000010A7" w:rsidRDefault="00341E78" w:rsidP="0040163C">
            <w:pPr>
              <w:tabs>
                <w:tab w:val="left" w:pos="9360"/>
              </w:tabs>
              <w:rPr>
                <w:u w:val="single"/>
              </w:rPr>
            </w:pPr>
            <w:r w:rsidRPr="000010A7">
              <w:t xml:space="preserve">The greater weight of evidence is that the fact exists.  The fact is more likely than not.  </w:t>
            </w:r>
          </w:p>
        </w:tc>
      </w:tr>
      <w:tr w:rsidR="00341E78" w:rsidRPr="000010A7" w14:paraId="7CFBD179" w14:textId="77777777" w:rsidTr="008A40FA">
        <w:tc>
          <w:tcPr>
            <w:tcW w:w="3704" w:type="dxa"/>
            <w:shd w:val="clear" w:color="auto" w:fill="auto"/>
          </w:tcPr>
          <w:p w14:paraId="7AFF8CF2" w14:textId="77777777" w:rsidR="00341E78" w:rsidRPr="000010A7" w:rsidRDefault="00B02E11" w:rsidP="0040163C">
            <w:pPr>
              <w:tabs>
                <w:tab w:val="left" w:pos="9360"/>
              </w:tabs>
              <w:rPr>
                <w:u w:val="single"/>
              </w:rPr>
            </w:pPr>
            <w:r w:rsidRPr="000010A7">
              <w:t>a</w:t>
            </w:r>
            <w:r w:rsidR="00341E78" w:rsidRPr="000010A7">
              <w:t>ffirmative evidence to the contrary</w:t>
            </w:r>
          </w:p>
        </w:tc>
        <w:tc>
          <w:tcPr>
            <w:tcW w:w="4158" w:type="dxa"/>
            <w:shd w:val="clear" w:color="auto" w:fill="auto"/>
          </w:tcPr>
          <w:p w14:paraId="38CF1F98" w14:textId="77777777" w:rsidR="00341E78" w:rsidRPr="000010A7" w:rsidRDefault="00341E78" w:rsidP="0040163C">
            <w:pPr>
              <w:tabs>
                <w:tab w:val="left" w:pos="9360"/>
              </w:tabs>
              <w:rPr>
                <w:u w:val="single"/>
              </w:rPr>
            </w:pPr>
            <w:r w:rsidRPr="000010A7">
              <w:t xml:space="preserve">The fact is unlikely; </w:t>
            </w:r>
            <w:r w:rsidR="009E40F3" w:rsidRPr="000010A7">
              <w:t xml:space="preserve">and </w:t>
            </w:r>
            <w:r w:rsidRPr="000010A7">
              <w:t>the evidence against the m</w:t>
            </w:r>
            <w:r w:rsidR="00B02E11" w:rsidRPr="000010A7">
              <w:t>atter is of greater weight.  This</w:t>
            </w:r>
            <w:r w:rsidRPr="000010A7">
              <w:t xml:space="preserve"> standard is the opposite of the preponderance standard.  </w:t>
            </w:r>
          </w:p>
        </w:tc>
      </w:tr>
      <w:tr w:rsidR="00341E78" w:rsidRPr="000010A7" w14:paraId="0BB3B59C" w14:textId="77777777" w:rsidTr="008A40FA">
        <w:tc>
          <w:tcPr>
            <w:tcW w:w="3704" w:type="dxa"/>
            <w:shd w:val="clear" w:color="auto" w:fill="auto"/>
          </w:tcPr>
          <w:p w14:paraId="63A00531" w14:textId="77777777" w:rsidR="00341E78" w:rsidRPr="000010A7" w:rsidRDefault="00B02E11" w:rsidP="0040163C">
            <w:pPr>
              <w:tabs>
                <w:tab w:val="left" w:pos="9360"/>
              </w:tabs>
              <w:rPr>
                <w:u w:val="single"/>
              </w:rPr>
            </w:pPr>
            <w:r w:rsidRPr="000010A7">
              <w:t>c</w:t>
            </w:r>
            <w:r w:rsidR="00341E78" w:rsidRPr="000010A7">
              <w:t>lear and convincing</w:t>
            </w:r>
          </w:p>
        </w:tc>
        <w:tc>
          <w:tcPr>
            <w:tcW w:w="4158" w:type="dxa"/>
            <w:shd w:val="clear" w:color="auto" w:fill="auto"/>
          </w:tcPr>
          <w:p w14:paraId="0CF41AC5" w14:textId="77777777" w:rsidR="00341E78" w:rsidRPr="000010A7" w:rsidRDefault="00341E78" w:rsidP="0040163C">
            <w:pPr>
              <w:tabs>
                <w:tab w:val="left" w:pos="9360"/>
              </w:tabs>
              <w:rPr>
                <w:u w:val="single"/>
              </w:rPr>
            </w:pPr>
            <w:r w:rsidRPr="000010A7">
              <w:t xml:space="preserve">The fact finder has reasonable certainty of the truth of a fact.  This is a higher standard of proof than having to find a fact is more likely than not.  </w:t>
            </w:r>
          </w:p>
        </w:tc>
      </w:tr>
      <w:tr w:rsidR="00341E78" w:rsidRPr="000010A7" w14:paraId="3D695768" w14:textId="77777777" w:rsidTr="008A40FA">
        <w:tc>
          <w:tcPr>
            <w:tcW w:w="3704" w:type="dxa"/>
            <w:shd w:val="clear" w:color="auto" w:fill="auto"/>
          </w:tcPr>
          <w:p w14:paraId="084AE470" w14:textId="77777777" w:rsidR="00341E78" w:rsidRPr="000010A7" w:rsidRDefault="00B02E11" w:rsidP="0040163C">
            <w:pPr>
              <w:tabs>
                <w:tab w:val="left" w:pos="9360"/>
              </w:tabs>
              <w:rPr>
                <w:u w:val="single"/>
              </w:rPr>
            </w:pPr>
            <w:r w:rsidRPr="000010A7">
              <w:t>c</w:t>
            </w:r>
            <w:r w:rsidR="00341E78" w:rsidRPr="000010A7">
              <w:t>lear and unmistakable</w:t>
            </w:r>
          </w:p>
        </w:tc>
        <w:tc>
          <w:tcPr>
            <w:tcW w:w="4158" w:type="dxa"/>
            <w:shd w:val="clear" w:color="auto" w:fill="auto"/>
          </w:tcPr>
          <w:p w14:paraId="3C2A4A18" w14:textId="77777777" w:rsidR="00341E78" w:rsidRPr="000010A7" w:rsidRDefault="00341E78" w:rsidP="0040163C">
            <w:pPr>
              <w:tabs>
                <w:tab w:val="left" w:pos="9360"/>
              </w:tabs>
              <w:rPr>
                <w:u w:val="single"/>
              </w:rPr>
            </w:pPr>
            <w:r w:rsidRPr="000010A7">
              <w:t xml:space="preserve">The evidence must establish the fact without question.  </w:t>
            </w:r>
          </w:p>
        </w:tc>
      </w:tr>
    </w:tbl>
    <w:p w14:paraId="0D4AFEB6" w14:textId="77777777" w:rsidR="00341E78" w:rsidRPr="000010A7" w:rsidRDefault="00341E78" w:rsidP="00341E78">
      <w:pPr>
        <w:tabs>
          <w:tab w:val="left" w:pos="9360"/>
        </w:tabs>
        <w:ind w:left="1714"/>
      </w:pPr>
      <w:r w:rsidRPr="000010A7">
        <w:rPr>
          <w:u w:val="single"/>
        </w:rPr>
        <w:tab/>
      </w:r>
    </w:p>
    <w:p w14:paraId="111A3C00" w14:textId="77777777" w:rsidR="00341E78" w:rsidRPr="000010A7" w:rsidRDefault="00341E78" w:rsidP="00341E78">
      <w:pPr>
        <w:ind w:left="1714"/>
      </w:pPr>
    </w:p>
    <w:tbl>
      <w:tblPr>
        <w:tblW w:w="0" w:type="auto"/>
        <w:tblLook w:val="04A0" w:firstRow="1" w:lastRow="0" w:firstColumn="1" w:lastColumn="0" w:noHBand="0" w:noVBand="1"/>
      </w:tblPr>
      <w:tblGrid>
        <w:gridCol w:w="1728"/>
        <w:gridCol w:w="7740"/>
      </w:tblGrid>
      <w:tr w:rsidR="00341E78" w:rsidRPr="000010A7" w14:paraId="17647863" w14:textId="77777777" w:rsidTr="0040163C">
        <w:tc>
          <w:tcPr>
            <w:tcW w:w="1728" w:type="dxa"/>
            <w:shd w:val="clear" w:color="auto" w:fill="auto"/>
          </w:tcPr>
          <w:p w14:paraId="367C8219" w14:textId="77777777" w:rsidR="00341E78" w:rsidRPr="000010A7" w:rsidRDefault="00C530C4" w:rsidP="00AC1044">
            <w:pPr>
              <w:rPr>
                <w:b/>
                <w:sz w:val="22"/>
              </w:rPr>
            </w:pPr>
            <w:r w:rsidRPr="000010A7">
              <w:rPr>
                <w:b/>
                <w:sz w:val="22"/>
              </w:rPr>
              <w:t>k</w:t>
            </w:r>
            <w:r w:rsidR="00341E78" w:rsidRPr="000010A7">
              <w:rPr>
                <w:b/>
                <w:sz w:val="22"/>
              </w:rPr>
              <w:t xml:space="preserve">.  </w:t>
            </w:r>
            <w:r w:rsidR="00B02E11" w:rsidRPr="000010A7">
              <w:rPr>
                <w:b/>
                <w:sz w:val="22"/>
              </w:rPr>
              <w:t>Reasonable</w:t>
            </w:r>
            <w:r w:rsidR="00341E78" w:rsidRPr="000010A7">
              <w:rPr>
                <w:b/>
                <w:sz w:val="22"/>
              </w:rPr>
              <w:t xml:space="preserve"> Doubt Rule</w:t>
            </w:r>
          </w:p>
        </w:tc>
        <w:tc>
          <w:tcPr>
            <w:tcW w:w="7740" w:type="dxa"/>
            <w:shd w:val="clear" w:color="auto" w:fill="auto"/>
          </w:tcPr>
          <w:p w14:paraId="6197D877" w14:textId="77777777" w:rsidR="00341E78" w:rsidRPr="000010A7" w:rsidRDefault="00341E78" w:rsidP="00B02E11">
            <w:pPr>
              <w:pStyle w:val="BlockText"/>
            </w:pPr>
            <w:r w:rsidRPr="000010A7">
              <w:t xml:space="preserve">The </w:t>
            </w:r>
            <w:r w:rsidR="00B02E11" w:rsidRPr="000010A7">
              <w:rPr>
                <w:b/>
                <w:i/>
              </w:rPr>
              <w:t>reasonable</w:t>
            </w:r>
            <w:r w:rsidRPr="000010A7">
              <w:rPr>
                <w:b/>
                <w:i/>
              </w:rPr>
              <w:t xml:space="preserve"> doubt rule</w:t>
            </w:r>
            <w:r w:rsidRPr="000010A7">
              <w:t xml:space="preserve"> means that the evidence provi</w:t>
            </w:r>
            <w:r w:rsidR="00B02E11" w:rsidRPr="000010A7">
              <w:t xml:space="preserve">ded by the claimant/beneficiary </w:t>
            </w:r>
            <w:r w:rsidRPr="000010A7">
              <w:t xml:space="preserve">(or obtained on his/her behalf) must only persuade the decision maker that each factual matter is at least as likely as not.  </w:t>
            </w:r>
          </w:p>
          <w:p w14:paraId="19582FD7" w14:textId="77777777" w:rsidR="00341E78" w:rsidRPr="000010A7" w:rsidRDefault="00341E78" w:rsidP="00341E78">
            <w:pPr>
              <w:pStyle w:val="BlockText"/>
            </w:pPr>
          </w:p>
          <w:p w14:paraId="67300014" w14:textId="77777777" w:rsidR="00341E78" w:rsidRPr="000010A7" w:rsidRDefault="00341E78" w:rsidP="00341E78">
            <w:pPr>
              <w:pStyle w:val="BlockText"/>
            </w:pPr>
            <w:r w:rsidRPr="000010A7">
              <w:t xml:space="preserve">It is the defined and consistently applied policy of the </w:t>
            </w:r>
            <w:r w:rsidR="00B02E11" w:rsidRPr="000010A7">
              <w:t>VA</w:t>
            </w:r>
            <w:r w:rsidRPr="000010A7">
              <w:t xml:space="preserve"> to administer the law under a broad interpretation, consistent, however, with the facts shown in every case. </w:t>
            </w:r>
            <w:r w:rsidR="00B02E11" w:rsidRPr="000010A7">
              <w:t xml:space="preserve"> </w:t>
            </w:r>
            <w:r w:rsidRPr="000010A7">
              <w:t>When after careful consideration of all procurable and assembled data, a reasonable doubt arises regarding</w:t>
            </w:r>
            <w:r w:rsidR="00AA6EE9" w:rsidRPr="000010A7">
              <w:t xml:space="preserve"> service </w:t>
            </w:r>
            <w:proofErr w:type="gramStart"/>
            <w:r w:rsidR="00AA6EE9" w:rsidRPr="000010A7">
              <w:t>origin,</w:t>
            </w:r>
            <w:proofErr w:type="gramEnd"/>
            <w:r w:rsidRPr="000010A7">
              <w:t xml:space="preserve"> the degree of disability</w:t>
            </w:r>
            <w:r w:rsidR="00B02E11" w:rsidRPr="000010A7">
              <w:t>,</w:t>
            </w:r>
            <w:r w:rsidR="00AA6EE9" w:rsidRPr="000010A7">
              <w:t xml:space="preserve"> or any other point,</w:t>
            </w:r>
            <w:r w:rsidRPr="000010A7">
              <w:t xml:space="preserve"> such doubt will be resolved in favor of the claimant. </w:t>
            </w:r>
          </w:p>
          <w:p w14:paraId="377FE937" w14:textId="77777777" w:rsidR="00341E78" w:rsidRPr="000010A7" w:rsidRDefault="00341E78" w:rsidP="00341E78">
            <w:pPr>
              <w:pStyle w:val="BlockText"/>
            </w:pPr>
          </w:p>
          <w:p w14:paraId="4122B6AD" w14:textId="77777777" w:rsidR="00341E78" w:rsidRPr="000010A7" w:rsidRDefault="00341E78" w:rsidP="00341E78">
            <w:pPr>
              <w:pStyle w:val="BlockText"/>
            </w:pPr>
            <w:r w:rsidRPr="000010A7">
              <w:t xml:space="preserve">In </w:t>
            </w:r>
            <w:hyperlink r:id="rId29" w:anchor="bmg" w:history="1">
              <w:r w:rsidRPr="000010A7">
                <w:rPr>
                  <w:rStyle w:val="Hyperlink"/>
                  <w:i/>
                </w:rPr>
                <w:t xml:space="preserve">Gilbert v. </w:t>
              </w:r>
              <w:proofErr w:type="spellStart"/>
              <w:r w:rsidRPr="000010A7">
                <w:rPr>
                  <w:rStyle w:val="Hyperlink"/>
                  <w:i/>
                </w:rPr>
                <w:t>Derwinski</w:t>
              </w:r>
              <w:proofErr w:type="spellEnd"/>
            </w:hyperlink>
            <w:r w:rsidRPr="000010A7">
              <w:t xml:space="preserve">, 1 </w:t>
            </w:r>
            <w:proofErr w:type="spellStart"/>
            <w:r w:rsidRPr="000010A7">
              <w:t>Vet.App</w:t>
            </w:r>
            <w:proofErr w:type="spellEnd"/>
            <w:r w:rsidRPr="000010A7">
              <w:t xml:space="preserve">. </w:t>
            </w:r>
            <w:r w:rsidR="00AA6EE9" w:rsidRPr="000010A7">
              <w:t>49 (1990), CAVC</w:t>
            </w:r>
            <w:r w:rsidRPr="000010A7">
              <w:t xml:space="preserve"> noted that an equipoise decision is</w:t>
            </w:r>
          </w:p>
          <w:p w14:paraId="6BC6E090" w14:textId="77777777" w:rsidR="00341E78" w:rsidRPr="000010A7" w:rsidRDefault="00341E78" w:rsidP="00341E78">
            <w:pPr>
              <w:pStyle w:val="BlockText"/>
            </w:pPr>
          </w:p>
          <w:p w14:paraId="47A1ECB9" w14:textId="77777777" w:rsidR="00341E78" w:rsidRPr="000010A7" w:rsidRDefault="00341E78" w:rsidP="0040163C">
            <w:pPr>
              <w:pStyle w:val="BlockText"/>
              <w:ind w:left="720"/>
            </w:pPr>
            <w:proofErr w:type="gramStart"/>
            <w:r w:rsidRPr="000010A7">
              <w:rPr>
                <w:i/>
              </w:rPr>
              <w:t>necessarily</w:t>
            </w:r>
            <w:proofErr w:type="gramEnd"/>
            <w:r w:rsidRPr="000010A7">
              <w:rPr>
                <w:i/>
              </w:rPr>
              <w:t xml:space="preserve"> more qualitative than quantitative; it is one not capable of mathematical precision and certitude.  Equal weight is not accorded to each piece of material contained in the record; every item of evidence does not have the same probative value</w:t>
            </w:r>
            <w:r w:rsidRPr="000010A7">
              <w:t>.</w:t>
            </w:r>
          </w:p>
          <w:p w14:paraId="2A034B27" w14:textId="77777777" w:rsidR="00341E78" w:rsidRPr="000010A7" w:rsidRDefault="00341E78" w:rsidP="0040163C">
            <w:pPr>
              <w:pStyle w:val="BlockText"/>
              <w:tabs>
                <w:tab w:val="left" w:pos="1155"/>
              </w:tabs>
            </w:pPr>
          </w:p>
          <w:p w14:paraId="5B66D7C1" w14:textId="4C3EE5C0" w:rsidR="00341E78" w:rsidRPr="000010A7" w:rsidRDefault="005A1873" w:rsidP="0040163C">
            <w:pPr>
              <w:pStyle w:val="BlockText"/>
              <w:tabs>
                <w:tab w:val="left" w:pos="1155"/>
              </w:tabs>
            </w:pPr>
            <w:r w:rsidRPr="000010A7">
              <w:t>CAVC</w:t>
            </w:r>
            <w:r w:rsidR="00B02E11" w:rsidRPr="000010A7">
              <w:t xml:space="preserve"> further likened the reasonable</w:t>
            </w:r>
            <w:r w:rsidR="00341E78" w:rsidRPr="000010A7">
              <w:t xml:space="preserve"> doubt rule as akin to the principle in baseball that the “tie goes to the runner.” </w:t>
            </w:r>
          </w:p>
          <w:p w14:paraId="136FF6FC" w14:textId="77777777" w:rsidR="00341E78" w:rsidRPr="000010A7" w:rsidRDefault="00341E78" w:rsidP="0040163C">
            <w:pPr>
              <w:pStyle w:val="BlockText"/>
              <w:tabs>
                <w:tab w:val="left" w:pos="1155"/>
              </w:tabs>
            </w:pPr>
          </w:p>
          <w:p w14:paraId="4962DC4A" w14:textId="77777777" w:rsidR="00341E78" w:rsidRPr="000010A7" w:rsidRDefault="00341E78" w:rsidP="00341E78">
            <w:pPr>
              <w:pStyle w:val="BlockText"/>
            </w:pPr>
            <w:r w:rsidRPr="000010A7">
              <w:rPr>
                <w:b/>
                <w:i/>
              </w:rPr>
              <w:t>Reference</w:t>
            </w:r>
            <w:r w:rsidRPr="000010A7">
              <w:t>:  For mor</w:t>
            </w:r>
            <w:r w:rsidR="00B02E11" w:rsidRPr="000010A7">
              <w:t xml:space="preserve">e information on the reasonable </w:t>
            </w:r>
            <w:r w:rsidRPr="000010A7">
              <w:t>doubt rule, see</w:t>
            </w:r>
          </w:p>
          <w:p w14:paraId="70A9EC4E" w14:textId="77777777" w:rsidR="00B02E11" w:rsidRPr="000010A7" w:rsidRDefault="000010A7" w:rsidP="0040163C">
            <w:pPr>
              <w:pStyle w:val="BulletText1"/>
              <w:rPr>
                <w:rStyle w:val="Hyperlink"/>
                <w:color w:val="000000"/>
                <w:u w:val="none"/>
              </w:rPr>
            </w:pPr>
            <w:hyperlink r:id="rId30" w:history="1">
              <w:r w:rsidR="00341E78" w:rsidRPr="000010A7">
                <w:rPr>
                  <w:rStyle w:val="Hyperlink"/>
                </w:rPr>
                <w:t>38 CFR 3.102</w:t>
              </w:r>
            </w:hyperlink>
            <w:r w:rsidR="00341E78" w:rsidRPr="000010A7">
              <w:rPr>
                <w:rStyle w:val="Hyperlink"/>
                <w:u w:val="none"/>
              </w:rPr>
              <w:t>, and</w:t>
            </w:r>
          </w:p>
          <w:p w14:paraId="41DB5BFB" w14:textId="77777777" w:rsidR="00341E78" w:rsidRPr="000010A7" w:rsidRDefault="000010A7" w:rsidP="0040163C">
            <w:pPr>
              <w:pStyle w:val="BulletText1"/>
            </w:pPr>
            <w:hyperlink r:id="rId31" w:history="1">
              <w:r w:rsidR="00341E78" w:rsidRPr="000010A7">
                <w:rPr>
                  <w:rStyle w:val="Hyperlink"/>
                </w:rPr>
                <w:t>38 CFR 4.3</w:t>
              </w:r>
            </w:hyperlink>
            <w:r w:rsidR="00341E78" w:rsidRPr="000010A7">
              <w:t>.</w:t>
            </w:r>
          </w:p>
        </w:tc>
      </w:tr>
    </w:tbl>
    <w:p w14:paraId="23DEABB7" w14:textId="77777777" w:rsidR="00AD5525" w:rsidRPr="000010A7" w:rsidRDefault="00AD5525">
      <w:pPr>
        <w:pStyle w:val="BlockLine"/>
      </w:pPr>
    </w:p>
    <w:tbl>
      <w:tblPr>
        <w:tblW w:w="0" w:type="auto"/>
        <w:tblLook w:val="04A0" w:firstRow="1" w:lastRow="0" w:firstColumn="1" w:lastColumn="0" w:noHBand="0" w:noVBand="1"/>
      </w:tblPr>
      <w:tblGrid>
        <w:gridCol w:w="1728"/>
        <w:gridCol w:w="7740"/>
      </w:tblGrid>
      <w:tr w:rsidR="00325DF0" w:rsidRPr="000010A7" w14:paraId="2D088435" w14:textId="77777777" w:rsidTr="0040163C">
        <w:tc>
          <w:tcPr>
            <w:tcW w:w="1728" w:type="dxa"/>
            <w:shd w:val="clear" w:color="auto" w:fill="auto"/>
          </w:tcPr>
          <w:p w14:paraId="306E63D2" w14:textId="77777777" w:rsidR="00325DF0" w:rsidRPr="000010A7" w:rsidRDefault="00C530C4" w:rsidP="00325DF0">
            <w:pPr>
              <w:rPr>
                <w:b/>
                <w:sz w:val="22"/>
              </w:rPr>
            </w:pPr>
            <w:r w:rsidRPr="000010A7">
              <w:rPr>
                <w:b/>
                <w:sz w:val="22"/>
              </w:rPr>
              <w:t>l</w:t>
            </w:r>
            <w:r w:rsidR="00325DF0" w:rsidRPr="000010A7">
              <w:rPr>
                <w:b/>
                <w:sz w:val="22"/>
              </w:rPr>
              <w:t>.  Understanding the Entitlement Criteria That Must Be Proven</w:t>
            </w:r>
          </w:p>
        </w:tc>
        <w:tc>
          <w:tcPr>
            <w:tcW w:w="7740" w:type="dxa"/>
            <w:shd w:val="clear" w:color="auto" w:fill="auto"/>
          </w:tcPr>
          <w:p w14:paraId="15F84F0D" w14:textId="77777777" w:rsidR="00325DF0" w:rsidRPr="000010A7" w:rsidRDefault="00325DF0" w:rsidP="00325DF0">
            <w:r w:rsidRPr="000010A7">
              <w:t xml:space="preserve">In determining which fact findings are required to make a legal conclusion, </w:t>
            </w:r>
            <w:r w:rsidRPr="000010A7">
              <w:rPr>
                <w:i/>
              </w:rPr>
              <w:t>generally</w:t>
            </w:r>
            <w:r w:rsidRPr="000010A7">
              <w:t xml:space="preserve"> if regulatory criteria are </w:t>
            </w:r>
          </w:p>
          <w:p w14:paraId="71FD5E71" w14:textId="77777777" w:rsidR="00325DF0" w:rsidRPr="000010A7" w:rsidRDefault="00325DF0" w:rsidP="00325DF0"/>
          <w:p w14:paraId="201D0226" w14:textId="2400D8AF" w:rsidR="00325DF0" w:rsidRPr="000010A7" w:rsidRDefault="00325DF0" w:rsidP="00325DF0">
            <w:pPr>
              <w:pStyle w:val="BulletText1"/>
            </w:pPr>
            <w:r w:rsidRPr="000010A7">
              <w:rPr>
                <w:b/>
                <w:i/>
              </w:rPr>
              <w:t>conjunctive</w:t>
            </w:r>
            <w:r w:rsidRPr="000010A7">
              <w:t xml:space="preserve"> (separated by “and”), all of the conjoined criteria must be met for the legal standard of entitlement to be met</w:t>
            </w:r>
            <w:r w:rsidR="00F322DA" w:rsidRPr="000010A7">
              <w:t>, or</w:t>
            </w:r>
            <w:r w:rsidRPr="000010A7">
              <w:t xml:space="preserve">  </w:t>
            </w:r>
          </w:p>
          <w:p w14:paraId="13E83144" w14:textId="77777777" w:rsidR="00325DF0" w:rsidRPr="000010A7" w:rsidRDefault="00325DF0" w:rsidP="00325DF0">
            <w:pPr>
              <w:pStyle w:val="BulletText1"/>
            </w:pPr>
            <w:proofErr w:type="gramStart"/>
            <w:r w:rsidRPr="000010A7">
              <w:rPr>
                <w:b/>
                <w:i/>
              </w:rPr>
              <w:t>disjunctive</w:t>
            </w:r>
            <w:proofErr w:type="gramEnd"/>
            <w:r w:rsidRPr="000010A7">
              <w:t xml:space="preserve"> (separated by “or”), any one of the alternative criteria will support entitlement to the benefit.  </w:t>
            </w:r>
          </w:p>
          <w:p w14:paraId="4DB6BFCA" w14:textId="77777777" w:rsidR="00325DF0" w:rsidRPr="000010A7" w:rsidRDefault="00325DF0" w:rsidP="00325DF0"/>
          <w:p w14:paraId="76E88A29" w14:textId="77777777" w:rsidR="00325DF0" w:rsidRPr="000010A7" w:rsidRDefault="00325DF0" w:rsidP="00746A27">
            <w:r w:rsidRPr="000010A7">
              <w:rPr>
                <w:b/>
                <w:i/>
              </w:rPr>
              <w:t>Important</w:t>
            </w:r>
            <w:r w:rsidRPr="000010A7">
              <w:t xml:space="preserve">: </w:t>
            </w:r>
            <w:r w:rsidR="00746A27" w:rsidRPr="000010A7">
              <w:t xml:space="preserve"> </w:t>
            </w:r>
            <w:r w:rsidRPr="000010A7">
              <w:t xml:space="preserve">Conjunctive language is </w:t>
            </w:r>
            <w:r w:rsidRPr="000010A7">
              <w:rPr>
                <w:i/>
              </w:rPr>
              <w:t>always</w:t>
            </w:r>
            <w:r w:rsidR="00746A27" w:rsidRPr="000010A7">
              <w:t xml:space="preserve"> subject to the reasonable doubt</w:t>
            </w:r>
            <w:r w:rsidRPr="000010A7">
              <w:t xml:space="preserve"> principles in </w:t>
            </w:r>
            <w:hyperlink r:id="rId32" w:history="1">
              <w:r w:rsidRPr="000010A7">
                <w:rPr>
                  <w:rStyle w:val="Hyperlink"/>
                </w:rPr>
                <w:t>38 CFR 3.102</w:t>
              </w:r>
            </w:hyperlink>
            <w:r w:rsidRPr="000010A7">
              <w:t xml:space="preserve"> when the evidence is in relative equipoise</w:t>
            </w:r>
            <w:r w:rsidR="00746A27" w:rsidRPr="000010A7">
              <w:t xml:space="preserve"> or when there is a question regarding degree of disability</w:t>
            </w:r>
            <w:r w:rsidRPr="000010A7">
              <w:t xml:space="preserve">. </w:t>
            </w:r>
          </w:p>
          <w:p w14:paraId="520948AB" w14:textId="77777777" w:rsidR="00325DF0" w:rsidRPr="000010A7" w:rsidRDefault="00325DF0" w:rsidP="00325DF0"/>
          <w:p w14:paraId="4935B90A" w14:textId="77777777" w:rsidR="00325DF0" w:rsidRPr="000010A7" w:rsidRDefault="00325DF0" w:rsidP="00325DF0">
            <w:r w:rsidRPr="000010A7">
              <w:rPr>
                <w:b/>
                <w:i/>
              </w:rPr>
              <w:t>Reference</w:t>
            </w:r>
            <w:r w:rsidRPr="000010A7">
              <w:t xml:space="preserve">:  For more information on the application of the Rating Schedule, see </w:t>
            </w:r>
            <w:hyperlink r:id="rId33" w:history="1">
              <w:r w:rsidRPr="000010A7">
                <w:rPr>
                  <w:rStyle w:val="Hyperlink"/>
                </w:rPr>
                <w:t>38 CFR 4.21</w:t>
              </w:r>
            </w:hyperlink>
            <w:r w:rsidRPr="000010A7">
              <w:t xml:space="preserve">.   </w:t>
            </w:r>
          </w:p>
        </w:tc>
      </w:tr>
    </w:tbl>
    <w:p w14:paraId="3AC4BB59" w14:textId="77777777" w:rsidR="00325DF0" w:rsidRPr="000010A7" w:rsidRDefault="00325DF0" w:rsidP="00325DF0">
      <w:pPr>
        <w:tabs>
          <w:tab w:val="left" w:pos="9360"/>
        </w:tabs>
        <w:ind w:left="1714"/>
      </w:pPr>
      <w:r w:rsidRPr="000010A7">
        <w:rPr>
          <w:u w:val="single"/>
        </w:rPr>
        <w:tab/>
      </w:r>
    </w:p>
    <w:p w14:paraId="285413DC" w14:textId="77777777" w:rsidR="00325DF0" w:rsidRPr="000010A7" w:rsidRDefault="00325DF0" w:rsidP="00325DF0">
      <w:pPr>
        <w:ind w:left="1714"/>
      </w:pPr>
    </w:p>
    <w:tbl>
      <w:tblPr>
        <w:tblW w:w="9468" w:type="dxa"/>
        <w:tblLook w:val="04A0" w:firstRow="1" w:lastRow="0" w:firstColumn="1" w:lastColumn="0" w:noHBand="0" w:noVBand="1"/>
      </w:tblPr>
      <w:tblGrid>
        <w:gridCol w:w="1728"/>
        <w:gridCol w:w="7740"/>
      </w:tblGrid>
      <w:tr w:rsidR="00F322DA" w:rsidRPr="000010A7" w14:paraId="2EF21160" w14:textId="77777777" w:rsidTr="00F322DA">
        <w:tc>
          <w:tcPr>
            <w:tcW w:w="1728" w:type="dxa"/>
            <w:shd w:val="clear" w:color="auto" w:fill="auto"/>
          </w:tcPr>
          <w:p w14:paraId="3C8AA02F" w14:textId="77777777" w:rsidR="00F322DA" w:rsidRPr="000010A7" w:rsidRDefault="00F322DA" w:rsidP="00262AB8">
            <w:pPr>
              <w:rPr>
                <w:b/>
                <w:sz w:val="22"/>
              </w:rPr>
            </w:pPr>
            <w:r w:rsidRPr="000010A7">
              <w:rPr>
                <w:b/>
                <w:sz w:val="22"/>
              </w:rPr>
              <w:t>m.  Choosing Between Two Levels of Evaluation</w:t>
            </w:r>
          </w:p>
        </w:tc>
        <w:tc>
          <w:tcPr>
            <w:tcW w:w="7740" w:type="dxa"/>
            <w:shd w:val="clear" w:color="auto" w:fill="auto"/>
          </w:tcPr>
          <w:p w14:paraId="2D300CEF" w14:textId="77777777" w:rsidR="00F322DA" w:rsidRPr="000010A7" w:rsidRDefault="000010A7" w:rsidP="0019730A">
            <w:pPr>
              <w:pStyle w:val="BlockText"/>
            </w:pPr>
            <w:hyperlink r:id="rId34" w:history="1">
              <w:r w:rsidR="00F322DA" w:rsidRPr="000010A7">
                <w:rPr>
                  <w:rStyle w:val="Hyperlink"/>
                </w:rPr>
                <w:t>38 CFR 4.7</w:t>
              </w:r>
            </w:hyperlink>
            <w:r w:rsidR="00F322DA" w:rsidRPr="000010A7">
              <w:t xml:space="preserve"> provides that where there is a question upon review of the evidence as to which of two evaluations shall be assigned, the higher evaluation will be assigned if the disability picture more nearly approximates the criteria required for that rating.  Otherwise, the lower rating will be assigned.  This means that the </w:t>
            </w:r>
            <w:r w:rsidR="00F322DA" w:rsidRPr="000010A7">
              <w:rPr>
                <w:i/>
              </w:rPr>
              <w:t>preponderance of the evidence</w:t>
            </w:r>
            <w:r w:rsidR="00F322DA" w:rsidRPr="000010A7">
              <w:t xml:space="preserve"> should support the level of evaluation chosen.  </w:t>
            </w:r>
          </w:p>
          <w:p w14:paraId="276CE8D8" w14:textId="77777777" w:rsidR="00F322DA" w:rsidRPr="000010A7" w:rsidRDefault="00F322DA" w:rsidP="0019730A">
            <w:pPr>
              <w:pStyle w:val="BlockText"/>
            </w:pPr>
          </w:p>
          <w:p w14:paraId="182D6CE7" w14:textId="77777777" w:rsidR="00F322DA" w:rsidRPr="000010A7" w:rsidRDefault="00F322DA" w:rsidP="0019730A">
            <w:pPr>
              <w:pStyle w:val="BlockText"/>
            </w:pPr>
            <w:r w:rsidRPr="000010A7">
              <w:rPr>
                <w:b/>
                <w:i/>
              </w:rPr>
              <w:t>Important</w:t>
            </w:r>
            <w:r w:rsidRPr="000010A7">
              <w:t xml:space="preserve">:  </w:t>
            </w:r>
            <w:hyperlink r:id="rId35" w:history="1">
              <w:r w:rsidRPr="000010A7">
                <w:rPr>
                  <w:rStyle w:val="Hyperlink"/>
                </w:rPr>
                <w:t>38 CFR 4.7</w:t>
              </w:r>
            </w:hyperlink>
            <w:r w:rsidRPr="000010A7">
              <w:t xml:space="preserve"> does not preclude application of the reasonable doubt doctrine.  When the decision maker concludes that the facts equally (or approximately equally) support two levels of evaluation such that each is as likely as not warranted, the higher evaluation will be awarded.   </w:t>
            </w:r>
          </w:p>
          <w:p w14:paraId="21B7A9DE" w14:textId="77777777" w:rsidR="00F322DA" w:rsidRPr="000010A7" w:rsidRDefault="00F322DA" w:rsidP="0019730A">
            <w:pPr>
              <w:pStyle w:val="BlockText"/>
            </w:pPr>
          </w:p>
          <w:p w14:paraId="1DFC7C39" w14:textId="4F85748F" w:rsidR="00F322DA" w:rsidRPr="000010A7" w:rsidRDefault="00F322DA" w:rsidP="0019730A">
            <w:pPr>
              <w:pStyle w:val="BlockText"/>
            </w:pPr>
            <w:r w:rsidRPr="000010A7">
              <w:rPr>
                <w:b/>
                <w:i/>
              </w:rPr>
              <w:t>Reference</w:t>
            </w:r>
            <w:r w:rsidRPr="000010A7">
              <w:t xml:space="preserve">:  For more information on variable, cumulative, and successive rating criteria and when </w:t>
            </w:r>
            <w:hyperlink r:id="rId36" w:history="1">
              <w:r w:rsidRPr="000010A7">
                <w:rPr>
                  <w:rStyle w:val="Hyperlink"/>
                </w:rPr>
                <w:t>38 CFR 4.7</w:t>
              </w:r>
            </w:hyperlink>
            <w:r w:rsidRPr="000010A7">
              <w:t xml:space="preserve"> applies, see </w:t>
            </w:r>
          </w:p>
          <w:p w14:paraId="7A3650A0" w14:textId="77777777" w:rsidR="00F322DA" w:rsidRPr="000010A7" w:rsidRDefault="00F322DA" w:rsidP="0019730A">
            <w:pPr>
              <w:pStyle w:val="BulletText1"/>
            </w:pPr>
            <w:r w:rsidRPr="000010A7">
              <w:t xml:space="preserve">M21-1, Part III, Subpart iv, 4.F.3.b, and  </w:t>
            </w:r>
          </w:p>
          <w:p w14:paraId="10BFF3A1" w14:textId="77777777" w:rsidR="00F322DA" w:rsidRPr="000010A7" w:rsidRDefault="000010A7" w:rsidP="0040163C">
            <w:pPr>
              <w:pStyle w:val="BulletText1"/>
            </w:pPr>
            <w:hyperlink r:id="rId37" w:anchor="bmc" w:history="1">
              <w:r w:rsidR="00F322DA" w:rsidRPr="000010A7">
                <w:rPr>
                  <w:rStyle w:val="Hyperlink"/>
                  <w:i/>
                </w:rPr>
                <w:t>Camacho v. Nicholson</w:t>
              </w:r>
            </w:hyperlink>
            <w:r w:rsidR="00F322DA" w:rsidRPr="000010A7">
              <w:t xml:space="preserve">, </w:t>
            </w:r>
            <w:proofErr w:type="gramStart"/>
            <w:r w:rsidR="00F322DA" w:rsidRPr="000010A7">
              <w:t xml:space="preserve">21 </w:t>
            </w:r>
            <w:proofErr w:type="spellStart"/>
            <w:r w:rsidR="00F322DA" w:rsidRPr="000010A7">
              <w:t>Vet.App</w:t>
            </w:r>
            <w:proofErr w:type="spellEnd"/>
            <w:proofErr w:type="gramEnd"/>
            <w:r w:rsidR="00F322DA" w:rsidRPr="000010A7">
              <w:t>. 360 (2007).</w:t>
            </w:r>
          </w:p>
        </w:tc>
      </w:tr>
    </w:tbl>
    <w:p w14:paraId="179157F5" w14:textId="77777777" w:rsidR="00262AB8" w:rsidRPr="000010A7" w:rsidRDefault="00262AB8" w:rsidP="00262AB8">
      <w:pPr>
        <w:tabs>
          <w:tab w:val="left" w:pos="9360"/>
        </w:tabs>
        <w:ind w:left="1714"/>
      </w:pPr>
      <w:r w:rsidRPr="000010A7">
        <w:rPr>
          <w:u w:val="single"/>
        </w:rPr>
        <w:tab/>
      </w:r>
    </w:p>
    <w:p w14:paraId="3DE821CE" w14:textId="77777777" w:rsidR="00262AB8" w:rsidRPr="000010A7" w:rsidRDefault="00262AB8" w:rsidP="00262AB8"/>
    <w:tbl>
      <w:tblPr>
        <w:tblW w:w="0" w:type="auto"/>
        <w:tblLook w:val="04A0" w:firstRow="1" w:lastRow="0" w:firstColumn="1" w:lastColumn="0" w:noHBand="0" w:noVBand="1"/>
      </w:tblPr>
      <w:tblGrid>
        <w:gridCol w:w="1728"/>
        <w:gridCol w:w="7740"/>
      </w:tblGrid>
      <w:tr w:rsidR="00262AB8" w:rsidRPr="000010A7" w14:paraId="3450A9E7" w14:textId="77777777" w:rsidTr="0040163C">
        <w:tc>
          <w:tcPr>
            <w:tcW w:w="1728" w:type="dxa"/>
            <w:shd w:val="clear" w:color="auto" w:fill="auto"/>
          </w:tcPr>
          <w:p w14:paraId="0D65A079" w14:textId="77777777" w:rsidR="00262AB8" w:rsidRPr="000010A7" w:rsidRDefault="00C530C4" w:rsidP="00262AB8">
            <w:pPr>
              <w:rPr>
                <w:b/>
                <w:sz w:val="22"/>
              </w:rPr>
            </w:pPr>
            <w:r w:rsidRPr="000010A7">
              <w:rPr>
                <w:b/>
                <w:sz w:val="22"/>
              </w:rPr>
              <w:t>n</w:t>
            </w:r>
            <w:r w:rsidR="00262AB8" w:rsidRPr="000010A7">
              <w:rPr>
                <w:b/>
                <w:sz w:val="22"/>
              </w:rPr>
              <w:t>.  Role of Presumptive Provisions</w:t>
            </w:r>
          </w:p>
        </w:tc>
        <w:tc>
          <w:tcPr>
            <w:tcW w:w="7740" w:type="dxa"/>
            <w:shd w:val="clear" w:color="auto" w:fill="auto"/>
          </w:tcPr>
          <w:p w14:paraId="0ECA041F" w14:textId="77777777" w:rsidR="00262AB8" w:rsidRPr="000010A7" w:rsidRDefault="00262AB8" w:rsidP="00262AB8">
            <w:pPr>
              <w:pStyle w:val="BlockText"/>
            </w:pPr>
            <w:r w:rsidRPr="000010A7">
              <w:t>Presumptive provisions alleviate part of the claimant’s burden of proof.  Where certain facts are proven</w:t>
            </w:r>
            <w:r w:rsidR="00325DF0" w:rsidRPr="000010A7">
              <w:t>,</w:t>
            </w:r>
            <w:r w:rsidRPr="000010A7">
              <w:t xml:space="preserve"> a presumption arises that additional facts are true unless the presumption is rebutted by </w:t>
            </w:r>
            <w:r w:rsidR="00325DF0" w:rsidRPr="000010A7">
              <w:t xml:space="preserve">other </w:t>
            </w:r>
            <w:r w:rsidRPr="000010A7">
              <w:t xml:space="preserve">evidence.  </w:t>
            </w:r>
          </w:p>
          <w:p w14:paraId="770CDBA5" w14:textId="77777777" w:rsidR="00262AB8" w:rsidRPr="000010A7" w:rsidRDefault="00262AB8" w:rsidP="00262AB8">
            <w:pPr>
              <w:pStyle w:val="BlockText"/>
            </w:pPr>
          </w:p>
          <w:p w14:paraId="43534699" w14:textId="77777777" w:rsidR="00262AB8" w:rsidRPr="000010A7" w:rsidRDefault="00262AB8" w:rsidP="00262AB8">
            <w:pPr>
              <w:pStyle w:val="BlockText"/>
            </w:pPr>
            <w:r w:rsidRPr="000010A7">
              <w:t xml:space="preserve">As noted by </w:t>
            </w:r>
            <w:proofErr w:type="spellStart"/>
            <w:r w:rsidRPr="000010A7">
              <w:rPr>
                <w:i/>
                <w:iCs/>
              </w:rPr>
              <w:t>Routen</w:t>
            </w:r>
            <w:proofErr w:type="spellEnd"/>
            <w:r w:rsidRPr="000010A7">
              <w:rPr>
                <w:i/>
                <w:iCs/>
              </w:rPr>
              <w:t xml:space="preserve"> v. West,</w:t>
            </w:r>
            <w:r w:rsidRPr="000010A7">
              <w:t xml:space="preserve"> 142 F.3d 1434, 1439 (Fed.Cir.1998)</w:t>
            </w:r>
            <w:r w:rsidR="00325DF0" w:rsidRPr="000010A7">
              <w:t>,</w:t>
            </w:r>
            <w:r w:rsidRPr="000010A7">
              <w:t xml:space="preserve"> a presumption has evidentiary value, but it is not a form of evidence.  It is a legal mechanism that relieves a party from having to produce evidence sufficient to establish the point at issue.  As noted by the </w:t>
            </w:r>
            <w:proofErr w:type="spellStart"/>
            <w:r w:rsidRPr="000010A7">
              <w:rPr>
                <w:i/>
              </w:rPr>
              <w:t>Routen</w:t>
            </w:r>
            <w:proofErr w:type="spellEnd"/>
            <w:r w:rsidRPr="000010A7">
              <w:t xml:space="preserve"> analysis, when the predicate evidence is established</w:t>
            </w:r>
            <w:r w:rsidR="00B14092" w:rsidRPr="000010A7">
              <w:t>,</w:t>
            </w:r>
            <w:r w:rsidRPr="000010A7">
              <w:t xml:space="preserve"> the remaining evidentiary gap is filled by the presumption.  </w:t>
            </w:r>
          </w:p>
          <w:p w14:paraId="6CC82695" w14:textId="77777777" w:rsidR="00262AB8" w:rsidRPr="000010A7" w:rsidRDefault="00262AB8" w:rsidP="00262AB8">
            <w:pPr>
              <w:pStyle w:val="BlockText"/>
            </w:pPr>
          </w:p>
          <w:p w14:paraId="557D1B83" w14:textId="77777777" w:rsidR="00262AB8" w:rsidRPr="000010A7" w:rsidRDefault="00EC64BE" w:rsidP="00262AB8">
            <w:pPr>
              <w:pStyle w:val="BlockText"/>
            </w:pPr>
            <w:r w:rsidRPr="000010A7">
              <w:t>V</w:t>
            </w:r>
            <w:r w:rsidR="00746A27" w:rsidRPr="000010A7">
              <w:t>A presumptions may</w:t>
            </w:r>
            <w:r w:rsidRPr="000010A7">
              <w:t xml:space="preserve"> be rebutted</w:t>
            </w:r>
            <w:r w:rsidR="00262AB8" w:rsidRPr="000010A7">
              <w:t>.  This means that when proof to the contrary of the evidentiary matter relieved by the pr</w:t>
            </w:r>
            <w:r w:rsidR="00746A27" w:rsidRPr="000010A7">
              <w:t>esumption exists in the record, the presumption may be rebutted</w:t>
            </w:r>
            <w:r w:rsidR="00262AB8" w:rsidRPr="000010A7">
              <w:t>.  When the presumption is rebutted</w:t>
            </w:r>
            <w:r w:rsidR="00924732" w:rsidRPr="000010A7">
              <w:t>,</w:t>
            </w:r>
            <w:r w:rsidR="00262AB8" w:rsidRPr="000010A7">
              <w:t xml:space="preserve"> the burden</w:t>
            </w:r>
            <w:r w:rsidR="00924732" w:rsidRPr="000010A7">
              <w:t xml:space="preserve"> shifts back to the claimant</w:t>
            </w:r>
            <w:r w:rsidR="00262AB8" w:rsidRPr="000010A7">
              <w:t xml:space="preserve"> seeking the benefit to prove the facts with evidence.</w:t>
            </w:r>
          </w:p>
          <w:p w14:paraId="3B955452" w14:textId="77777777" w:rsidR="00262AB8" w:rsidRPr="000010A7" w:rsidRDefault="00262AB8" w:rsidP="00262AB8">
            <w:pPr>
              <w:pStyle w:val="BlockText"/>
            </w:pPr>
          </w:p>
          <w:p w14:paraId="6AD09E8F" w14:textId="77777777" w:rsidR="00262AB8" w:rsidRPr="000010A7" w:rsidRDefault="00262AB8" w:rsidP="00262AB8">
            <w:pPr>
              <w:pStyle w:val="BlockText"/>
            </w:pPr>
            <w:r w:rsidRPr="000010A7">
              <w:t xml:space="preserve">VA presumptions include the presumptions of soundness, aggravation, and service connection.  </w:t>
            </w:r>
          </w:p>
          <w:p w14:paraId="605FCCCF" w14:textId="77777777" w:rsidR="00262AB8" w:rsidRPr="000010A7" w:rsidRDefault="00262AB8" w:rsidP="00262AB8">
            <w:pPr>
              <w:pStyle w:val="BlockText"/>
            </w:pPr>
          </w:p>
          <w:p w14:paraId="5640FA96" w14:textId="77777777" w:rsidR="00262AB8" w:rsidRPr="000010A7" w:rsidRDefault="00262AB8" w:rsidP="00262AB8">
            <w:pPr>
              <w:pStyle w:val="BlockText"/>
            </w:pPr>
            <w:r w:rsidRPr="000010A7">
              <w:rPr>
                <w:b/>
                <w:i/>
              </w:rPr>
              <w:t>References</w:t>
            </w:r>
            <w:r w:rsidRPr="000010A7">
              <w:t xml:space="preserve">:  For more information on the </w:t>
            </w:r>
          </w:p>
          <w:p w14:paraId="15DA4115" w14:textId="77777777" w:rsidR="00924732" w:rsidRPr="000010A7" w:rsidRDefault="00262AB8" w:rsidP="00262AB8">
            <w:pPr>
              <w:pStyle w:val="BulletText1"/>
            </w:pPr>
            <w:r w:rsidRPr="000010A7">
              <w:t xml:space="preserve">presumption of soundness, see </w:t>
            </w:r>
          </w:p>
          <w:p w14:paraId="70FF8E61" w14:textId="77777777" w:rsidR="00924732" w:rsidRPr="000010A7" w:rsidRDefault="000010A7" w:rsidP="00C17F48">
            <w:pPr>
              <w:numPr>
                <w:ilvl w:val="0"/>
                <w:numId w:val="18"/>
              </w:numPr>
              <w:ind w:left="346" w:hanging="187"/>
            </w:pPr>
            <w:hyperlink r:id="rId38" w:history="1">
              <w:r w:rsidR="00262AB8" w:rsidRPr="000010A7">
                <w:rPr>
                  <w:rStyle w:val="Hyperlink"/>
                </w:rPr>
                <w:t>38 U.S.C. 1111</w:t>
              </w:r>
            </w:hyperlink>
            <w:r w:rsidR="00924732" w:rsidRPr="000010A7">
              <w:rPr>
                <w:rStyle w:val="Hyperlink"/>
              </w:rPr>
              <w:t>,</w:t>
            </w:r>
            <w:r w:rsidR="00262AB8" w:rsidRPr="000010A7">
              <w:t xml:space="preserve"> and </w:t>
            </w:r>
          </w:p>
          <w:p w14:paraId="17061195" w14:textId="77777777" w:rsidR="00262AB8" w:rsidRPr="000010A7" w:rsidRDefault="00262AB8" w:rsidP="00C17F48">
            <w:pPr>
              <w:numPr>
                <w:ilvl w:val="0"/>
                <w:numId w:val="18"/>
              </w:numPr>
              <w:ind w:left="346" w:hanging="187"/>
            </w:pPr>
            <w:r w:rsidRPr="000010A7">
              <w:t>M21-1, Part IV, Subpart ii, 2.B.1.f</w:t>
            </w:r>
          </w:p>
          <w:p w14:paraId="5EDD3BA5" w14:textId="77777777" w:rsidR="00924732" w:rsidRPr="000010A7" w:rsidRDefault="00262AB8" w:rsidP="00262AB8">
            <w:pPr>
              <w:pStyle w:val="BulletText1"/>
            </w:pPr>
            <w:r w:rsidRPr="000010A7">
              <w:t xml:space="preserve">presumption of aggravation, see </w:t>
            </w:r>
          </w:p>
          <w:p w14:paraId="684623D2" w14:textId="77777777" w:rsidR="00924732" w:rsidRPr="000010A7" w:rsidRDefault="000010A7" w:rsidP="00C17F48">
            <w:pPr>
              <w:numPr>
                <w:ilvl w:val="0"/>
                <w:numId w:val="19"/>
              </w:numPr>
              <w:ind w:left="346" w:hanging="187"/>
            </w:pPr>
            <w:hyperlink r:id="rId39" w:history="1">
              <w:r w:rsidR="00262AB8" w:rsidRPr="000010A7">
                <w:rPr>
                  <w:rStyle w:val="Hyperlink"/>
                </w:rPr>
                <w:t>38 U.S.C. 1153</w:t>
              </w:r>
            </w:hyperlink>
            <w:r w:rsidR="00924732" w:rsidRPr="000010A7">
              <w:rPr>
                <w:rStyle w:val="Hyperlink"/>
              </w:rPr>
              <w:t>,</w:t>
            </w:r>
            <w:r w:rsidR="00262AB8" w:rsidRPr="000010A7">
              <w:t xml:space="preserve"> and </w:t>
            </w:r>
          </w:p>
          <w:p w14:paraId="65D92B4B" w14:textId="77777777" w:rsidR="00262AB8" w:rsidRPr="000010A7" w:rsidRDefault="00262AB8" w:rsidP="00C17F48">
            <w:pPr>
              <w:numPr>
                <w:ilvl w:val="0"/>
                <w:numId w:val="19"/>
              </w:numPr>
              <w:ind w:left="346" w:hanging="187"/>
            </w:pPr>
            <w:r w:rsidRPr="000010A7">
              <w:t>M21</w:t>
            </w:r>
            <w:r w:rsidR="00924732" w:rsidRPr="000010A7">
              <w:t>-1, Part IV, Subpart ii, 2.B.4</w:t>
            </w:r>
            <w:r w:rsidRPr="000010A7">
              <w:t>, and</w:t>
            </w:r>
          </w:p>
          <w:p w14:paraId="575ECDB0" w14:textId="77777777" w:rsidR="00924732" w:rsidRPr="000010A7" w:rsidRDefault="00262AB8" w:rsidP="00C17F48">
            <w:pPr>
              <w:numPr>
                <w:ilvl w:val="0"/>
                <w:numId w:val="20"/>
              </w:numPr>
              <w:ind w:left="158" w:hanging="187"/>
            </w:pPr>
            <w:r w:rsidRPr="000010A7">
              <w:t xml:space="preserve">presumption of service connection, see </w:t>
            </w:r>
          </w:p>
          <w:p w14:paraId="6B05B2ED" w14:textId="77777777" w:rsidR="00924732" w:rsidRPr="000010A7" w:rsidRDefault="000010A7" w:rsidP="00C17F48">
            <w:pPr>
              <w:numPr>
                <w:ilvl w:val="0"/>
                <w:numId w:val="21"/>
              </w:numPr>
              <w:ind w:left="346" w:hanging="187"/>
            </w:pPr>
            <w:hyperlink r:id="rId40" w:history="1">
              <w:r w:rsidR="00262AB8" w:rsidRPr="000010A7">
                <w:rPr>
                  <w:rStyle w:val="Hyperlink"/>
                </w:rPr>
                <w:t>38 U.S.C. 1112</w:t>
              </w:r>
            </w:hyperlink>
            <w:r w:rsidR="00924732" w:rsidRPr="000010A7">
              <w:rPr>
                <w:rStyle w:val="Hyperlink"/>
              </w:rPr>
              <w:t>,</w:t>
            </w:r>
            <w:r w:rsidR="00262AB8" w:rsidRPr="000010A7">
              <w:t xml:space="preserve"> and </w:t>
            </w:r>
          </w:p>
          <w:p w14:paraId="54AE0DB5" w14:textId="77777777" w:rsidR="00262AB8" w:rsidRPr="000010A7" w:rsidRDefault="00262AB8" w:rsidP="00C17F48">
            <w:pPr>
              <w:numPr>
                <w:ilvl w:val="0"/>
                <w:numId w:val="21"/>
              </w:numPr>
              <w:ind w:left="346" w:hanging="187"/>
            </w:pPr>
            <w:r w:rsidRPr="000010A7">
              <w:t>M21-1, Part IV, Subpart ii, 2.B.2.</w:t>
            </w:r>
          </w:p>
        </w:tc>
      </w:tr>
    </w:tbl>
    <w:p w14:paraId="1592D1E5" w14:textId="77777777" w:rsidR="00262AB8" w:rsidRPr="000010A7" w:rsidRDefault="00262AB8" w:rsidP="00262AB8">
      <w:pPr>
        <w:tabs>
          <w:tab w:val="left" w:pos="9360"/>
        </w:tabs>
        <w:ind w:left="1714"/>
      </w:pPr>
      <w:r w:rsidRPr="000010A7">
        <w:rPr>
          <w:u w:val="single"/>
        </w:rPr>
        <w:tab/>
      </w:r>
    </w:p>
    <w:p w14:paraId="3C8B02E7" w14:textId="77777777" w:rsidR="00262AB8" w:rsidRPr="000010A7" w:rsidRDefault="00262AB8" w:rsidP="00262AB8">
      <w:pPr>
        <w:ind w:left="1714"/>
      </w:pPr>
    </w:p>
    <w:p w14:paraId="3BFB210C" w14:textId="77777777" w:rsidR="00262AB8" w:rsidRPr="000010A7" w:rsidRDefault="00262AB8" w:rsidP="00262AB8"/>
    <w:p w14:paraId="2C2FADFD" w14:textId="11CE1C74" w:rsidR="00AD5525" w:rsidRPr="000010A7" w:rsidRDefault="00AD5525">
      <w:pPr>
        <w:pStyle w:val="Heading4"/>
      </w:pPr>
      <w:r w:rsidRPr="000010A7">
        <w:br w:type="page"/>
      </w:r>
    </w:p>
    <w:p w14:paraId="5933C14B" w14:textId="57402D80" w:rsidR="00AD5525" w:rsidRPr="000010A7" w:rsidRDefault="00C530C4">
      <w:pPr>
        <w:pStyle w:val="Heading4"/>
      </w:pPr>
      <w:r w:rsidRPr="000010A7">
        <w:t>2</w:t>
      </w:r>
      <w:r w:rsidR="00AD5525" w:rsidRPr="000010A7">
        <w:t xml:space="preserve">.  </w:t>
      </w:r>
      <w:r w:rsidR="00924732" w:rsidRPr="000010A7">
        <w:t>Evidentiary Concepts</w:t>
      </w:r>
    </w:p>
    <w:p w14:paraId="318B2E18" w14:textId="77777777" w:rsidR="00AD5525" w:rsidRPr="000010A7" w:rsidRDefault="00AD5525">
      <w:pPr>
        <w:pStyle w:val="BlockLine"/>
      </w:pPr>
    </w:p>
    <w:tbl>
      <w:tblPr>
        <w:tblW w:w="0" w:type="auto"/>
        <w:tblLayout w:type="fixed"/>
        <w:tblLook w:val="0000" w:firstRow="0" w:lastRow="0" w:firstColumn="0" w:lastColumn="0" w:noHBand="0" w:noVBand="0"/>
      </w:tblPr>
      <w:tblGrid>
        <w:gridCol w:w="1728"/>
        <w:gridCol w:w="7740"/>
      </w:tblGrid>
      <w:tr w:rsidR="00AD5525" w:rsidRPr="000010A7" w14:paraId="187BA27F" w14:textId="77777777" w:rsidTr="001B1806">
        <w:trPr>
          <w:cantSplit/>
        </w:trPr>
        <w:tc>
          <w:tcPr>
            <w:tcW w:w="1728" w:type="dxa"/>
            <w:shd w:val="clear" w:color="auto" w:fill="auto"/>
          </w:tcPr>
          <w:p w14:paraId="43740C03" w14:textId="77777777" w:rsidR="00AD5525" w:rsidRPr="000010A7" w:rsidRDefault="00AD5525">
            <w:pPr>
              <w:pStyle w:val="Heading5"/>
            </w:pPr>
            <w:r w:rsidRPr="000010A7">
              <w:t>Introduction</w:t>
            </w:r>
          </w:p>
        </w:tc>
        <w:tc>
          <w:tcPr>
            <w:tcW w:w="7740" w:type="dxa"/>
            <w:shd w:val="clear" w:color="auto" w:fill="auto"/>
          </w:tcPr>
          <w:p w14:paraId="55FD98E5" w14:textId="2CDC7487" w:rsidR="00AD5525" w:rsidRPr="000010A7" w:rsidRDefault="00AD5525" w:rsidP="001B1806">
            <w:pPr>
              <w:pStyle w:val="BlockText"/>
            </w:pPr>
            <w:r w:rsidRPr="000010A7">
              <w:t xml:space="preserve">This topic contains information about </w:t>
            </w:r>
            <w:r w:rsidR="00DF2BF8" w:rsidRPr="000010A7">
              <w:t>evidentiary concepts</w:t>
            </w:r>
            <w:r w:rsidRPr="000010A7">
              <w:t>, including</w:t>
            </w:r>
          </w:p>
          <w:p w14:paraId="7CDF5FCE" w14:textId="77777777" w:rsidR="00AD5525" w:rsidRPr="000010A7" w:rsidRDefault="00AD5525" w:rsidP="001B1806">
            <w:pPr>
              <w:pStyle w:val="BlockText"/>
            </w:pPr>
          </w:p>
          <w:p w14:paraId="206B6124" w14:textId="77777777" w:rsidR="00DF2BF8" w:rsidRPr="000010A7" w:rsidRDefault="00DF2BF8" w:rsidP="00C17F48">
            <w:pPr>
              <w:numPr>
                <w:ilvl w:val="0"/>
                <w:numId w:val="28"/>
              </w:numPr>
              <w:ind w:left="158" w:hanging="187"/>
            </w:pPr>
            <w:r w:rsidRPr="000010A7">
              <w:t>admissibility of evidence</w:t>
            </w:r>
          </w:p>
          <w:p w14:paraId="3DB1D1E9" w14:textId="00AF8AD7" w:rsidR="00AD5525" w:rsidRPr="000010A7" w:rsidRDefault="00AD5525">
            <w:pPr>
              <w:pStyle w:val="BulletText1"/>
            </w:pPr>
            <w:r w:rsidRPr="000010A7">
              <w:t>definition o</w:t>
            </w:r>
            <w:r w:rsidR="00466693" w:rsidRPr="000010A7">
              <w:t>f</w:t>
            </w:r>
            <w:r w:rsidR="00DF2BF8" w:rsidRPr="000010A7">
              <w:t xml:space="preserve"> </w:t>
            </w:r>
            <w:r w:rsidRPr="000010A7">
              <w:rPr>
                <w:b/>
                <w:i/>
              </w:rPr>
              <w:t>credib</w:t>
            </w:r>
            <w:r w:rsidR="00A62C32" w:rsidRPr="000010A7">
              <w:rPr>
                <w:b/>
                <w:i/>
              </w:rPr>
              <w:t>ility</w:t>
            </w:r>
            <w:r w:rsidRPr="000010A7">
              <w:rPr>
                <w:b/>
                <w:i/>
              </w:rPr>
              <w:t xml:space="preserve"> </w:t>
            </w:r>
          </w:p>
          <w:p w14:paraId="69CE9D40" w14:textId="77777777" w:rsidR="00DF2BF8" w:rsidRPr="000010A7" w:rsidRDefault="00DF2BF8">
            <w:pPr>
              <w:pStyle w:val="BulletText1"/>
            </w:pPr>
            <w:r w:rsidRPr="000010A7">
              <w:t xml:space="preserve">definition of </w:t>
            </w:r>
            <w:r w:rsidRPr="000010A7">
              <w:rPr>
                <w:b/>
                <w:i/>
              </w:rPr>
              <w:t>competent evidence</w:t>
            </w:r>
          </w:p>
          <w:p w14:paraId="367396A3" w14:textId="1A0C77BE" w:rsidR="00F640C7" w:rsidRPr="000010A7" w:rsidRDefault="00AD5525">
            <w:pPr>
              <w:pStyle w:val="BulletText1"/>
            </w:pPr>
            <w:r w:rsidRPr="000010A7">
              <w:t xml:space="preserve">definition of </w:t>
            </w:r>
            <w:r w:rsidRPr="000010A7">
              <w:rPr>
                <w:b/>
                <w:i/>
              </w:rPr>
              <w:t>probative</w:t>
            </w:r>
            <w:r w:rsidR="00DA6A39" w:rsidRPr="000010A7">
              <w:rPr>
                <w:b/>
                <w:i/>
              </w:rPr>
              <w:t xml:space="preserve"> </w:t>
            </w:r>
            <w:r w:rsidR="00EC1D30" w:rsidRPr="000010A7">
              <w:rPr>
                <w:b/>
                <w:i/>
              </w:rPr>
              <w:t>value</w:t>
            </w:r>
          </w:p>
          <w:p w14:paraId="0B66C4C2" w14:textId="77777777" w:rsidR="00F640C7" w:rsidRPr="000010A7" w:rsidRDefault="00F640C7">
            <w:pPr>
              <w:pStyle w:val="BulletText1"/>
            </w:pPr>
            <w:r w:rsidRPr="000010A7">
              <w:t>determining the probative value of evidence</w:t>
            </w:r>
          </w:p>
          <w:p w14:paraId="0096FC47" w14:textId="77777777" w:rsidR="00AD5525" w:rsidRPr="000010A7" w:rsidRDefault="00F640C7">
            <w:pPr>
              <w:pStyle w:val="BulletText1"/>
            </w:pPr>
            <w:r w:rsidRPr="000010A7">
              <w:t>definitions of positive and negative evidence</w:t>
            </w:r>
          </w:p>
          <w:p w14:paraId="41D96B8E" w14:textId="357F32F8" w:rsidR="009D71BB" w:rsidRPr="000010A7" w:rsidRDefault="009D71BB">
            <w:pPr>
              <w:pStyle w:val="BulletText1"/>
            </w:pPr>
            <w:r w:rsidRPr="000010A7">
              <w:t>court holdings on negative evidence</w:t>
            </w:r>
            <w:r w:rsidR="006D1FB5" w:rsidRPr="000010A7">
              <w:t>, and</w:t>
            </w:r>
          </w:p>
          <w:p w14:paraId="118AE4E3" w14:textId="622CFF9B" w:rsidR="00AD5525" w:rsidRPr="000010A7" w:rsidRDefault="009D71BB" w:rsidP="006D1FB5">
            <w:pPr>
              <w:pStyle w:val="BulletText1"/>
            </w:pPr>
            <w:proofErr w:type="gramStart"/>
            <w:r w:rsidRPr="000010A7">
              <w:t>court</w:t>
            </w:r>
            <w:proofErr w:type="gramEnd"/>
            <w:r w:rsidRPr="000010A7">
              <w:t xml:space="preserve"> holdings on negative evidence and the duty to assist</w:t>
            </w:r>
            <w:r w:rsidR="006D1FB5" w:rsidRPr="000010A7">
              <w:t>.</w:t>
            </w:r>
            <w:r w:rsidR="00AD5525" w:rsidRPr="000010A7">
              <w:t xml:space="preserve"> </w:t>
            </w:r>
          </w:p>
        </w:tc>
      </w:tr>
    </w:tbl>
    <w:p w14:paraId="5A15A74B" w14:textId="77777777" w:rsidR="00AD5525" w:rsidRPr="000010A7" w:rsidRDefault="00AD5525">
      <w:pPr>
        <w:pStyle w:val="BlockLine"/>
      </w:pPr>
    </w:p>
    <w:tbl>
      <w:tblPr>
        <w:tblW w:w="0" w:type="auto"/>
        <w:tblLayout w:type="fixed"/>
        <w:tblLook w:val="0000" w:firstRow="0" w:lastRow="0" w:firstColumn="0" w:lastColumn="0" w:noHBand="0" w:noVBand="0"/>
      </w:tblPr>
      <w:tblGrid>
        <w:gridCol w:w="1728"/>
        <w:gridCol w:w="7740"/>
      </w:tblGrid>
      <w:tr w:rsidR="00AD5525" w:rsidRPr="000010A7" w14:paraId="2C3CBF85" w14:textId="77777777" w:rsidTr="001B1806">
        <w:trPr>
          <w:cantSplit/>
        </w:trPr>
        <w:tc>
          <w:tcPr>
            <w:tcW w:w="1728" w:type="dxa"/>
            <w:shd w:val="clear" w:color="auto" w:fill="auto"/>
          </w:tcPr>
          <w:p w14:paraId="0BBFDB31" w14:textId="77777777" w:rsidR="00AD5525" w:rsidRPr="000010A7" w:rsidRDefault="00AD5525">
            <w:pPr>
              <w:pStyle w:val="Heading5"/>
            </w:pPr>
            <w:r w:rsidRPr="000010A7">
              <w:t>Change Date</w:t>
            </w:r>
          </w:p>
        </w:tc>
        <w:tc>
          <w:tcPr>
            <w:tcW w:w="7740" w:type="dxa"/>
            <w:shd w:val="clear" w:color="auto" w:fill="auto"/>
          </w:tcPr>
          <w:p w14:paraId="5A488C57" w14:textId="48354DA0" w:rsidR="00AD5525" w:rsidRPr="000010A7" w:rsidRDefault="00A53011" w:rsidP="001B1806">
            <w:pPr>
              <w:pStyle w:val="BlockText"/>
            </w:pPr>
            <w:r w:rsidRPr="000010A7">
              <w:t>July 15, 2015</w:t>
            </w:r>
          </w:p>
        </w:tc>
      </w:tr>
    </w:tbl>
    <w:p w14:paraId="318C29F5" w14:textId="77777777" w:rsidR="00AD5525" w:rsidRPr="000010A7" w:rsidRDefault="00AD5525">
      <w:pPr>
        <w:pStyle w:val="BlockLine"/>
      </w:pPr>
    </w:p>
    <w:tbl>
      <w:tblPr>
        <w:tblW w:w="0" w:type="auto"/>
        <w:tblLook w:val="04A0" w:firstRow="1" w:lastRow="0" w:firstColumn="1" w:lastColumn="0" w:noHBand="0" w:noVBand="1"/>
      </w:tblPr>
      <w:tblGrid>
        <w:gridCol w:w="1728"/>
        <w:gridCol w:w="7740"/>
      </w:tblGrid>
      <w:tr w:rsidR="00DF2BF8" w:rsidRPr="000010A7" w14:paraId="229D1A89" w14:textId="77777777" w:rsidTr="003F2536">
        <w:tc>
          <w:tcPr>
            <w:tcW w:w="1728" w:type="dxa"/>
            <w:shd w:val="clear" w:color="auto" w:fill="auto"/>
          </w:tcPr>
          <w:p w14:paraId="69327145" w14:textId="77777777" w:rsidR="00DF2BF8" w:rsidRPr="000010A7" w:rsidRDefault="00DF2BF8" w:rsidP="00DF2BF8">
            <w:pPr>
              <w:rPr>
                <w:b/>
                <w:sz w:val="22"/>
              </w:rPr>
            </w:pPr>
            <w:r w:rsidRPr="000010A7">
              <w:rPr>
                <w:b/>
                <w:sz w:val="22"/>
              </w:rPr>
              <w:t>a.  Admissibility of Evidence</w:t>
            </w:r>
          </w:p>
        </w:tc>
        <w:tc>
          <w:tcPr>
            <w:tcW w:w="7740" w:type="dxa"/>
            <w:shd w:val="clear" w:color="auto" w:fill="auto"/>
          </w:tcPr>
          <w:p w14:paraId="4F305907" w14:textId="77777777" w:rsidR="00DF2BF8" w:rsidRPr="000010A7" w:rsidRDefault="00DF2BF8" w:rsidP="00DF2BF8">
            <w:pPr>
              <w:pStyle w:val="BlockText"/>
            </w:pPr>
            <w:r w:rsidRPr="000010A7">
              <w:t xml:space="preserve">Admissibility refers to whether offered evidence is accepted and made part of the official evidentiary record, which, for VA claims, is the claims folder. </w:t>
            </w:r>
          </w:p>
          <w:p w14:paraId="0CD45024" w14:textId="77777777" w:rsidR="00DF2BF8" w:rsidRPr="000010A7" w:rsidRDefault="00DF2BF8" w:rsidP="00DF2BF8">
            <w:pPr>
              <w:pStyle w:val="BlockText"/>
            </w:pPr>
          </w:p>
          <w:p w14:paraId="48132C73" w14:textId="77777777" w:rsidR="00DF2BF8" w:rsidRPr="000010A7" w:rsidRDefault="00DF2BF8" w:rsidP="00DF2BF8">
            <w:r w:rsidRPr="000010A7">
              <w:t>With a few exceptions</w:t>
            </w:r>
            <w:r w:rsidR="00FA29CF" w:rsidRPr="000010A7">
              <w:t>,</w:t>
            </w:r>
            <w:r w:rsidRPr="000010A7">
              <w:t xml:space="preserve"> all evidence submitted is admitted into the record. </w:t>
            </w:r>
            <w:r w:rsidR="00FA29CF" w:rsidRPr="000010A7">
              <w:t xml:space="preserve"> </w:t>
            </w:r>
            <w:r w:rsidRPr="000010A7">
              <w:t xml:space="preserve">There are a few exceptions for unsworn or uncertified testimony and duplicate copies of records.  </w:t>
            </w:r>
          </w:p>
        </w:tc>
      </w:tr>
    </w:tbl>
    <w:p w14:paraId="000FBCAF" w14:textId="77777777" w:rsidR="00DF2BF8" w:rsidRPr="000010A7" w:rsidRDefault="00DF2BF8" w:rsidP="00DF2BF8">
      <w:pPr>
        <w:tabs>
          <w:tab w:val="left" w:pos="9360"/>
        </w:tabs>
        <w:ind w:left="1714"/>
      </w:pPr>
      <w:r w:rsidRPr="000010A7">
        <w:rPr>
          <w:u w:val="single"/>
        </w:rPr>
        <w:tab/>
      </w:r>
    </w:p>
    <w:tbl>
      <w:tblPr>
        <w:tblW w:w="0" w:type="auto"/>
        <w:tblLayout w:type="fixed"/>
        <w:tblLook w:val="0000" w:firstRow="0" w:lastRow="0" w:firstColumn="0" w:lastColumn="0" w:noHBand="0" w:noVBand="0"/>
      </w:tblPr>
      <w:tblGrid>
        <w:gridCol w:w="1728"/>
        <w:gridCol w:w="7740"/>
      </w:tblGrid>
      <w:tr w:rsidR="00AD5525" w:rsidRPr="000010A7" w14:paraId="5DFF3A01" w14:textId="77777777" w:rsidTr="001B1806">
        <w:trPr>
          <w:cantSplit/>
        </w:trPr>
        <w:tc>
          <w:tcPr>
            <w:tcW w:w="1728" w:type="dxa"/>
            <w:shd w:val="clear" w:color="auto" w:fill="auto"/>
          </w:tcPr>
          <w:p w14:paraId="5FE7DB26" w14:textId="7356D75D" w:rsidR="00AD5525" w:rsidRPr="000010A7" w:rsidRDefault="00AD5525" w:rsidP="00A62C32">
            <w:pPr>
              <w:pStyle w:val="Heading5"/>
            </w:pPr>
            <w:proofErr w:type="gramStart"/>
            <w:r w:rsidRPr="000010A7">
              <w:t>b.  Definition</w:t>
            </w:r>
            <w:proofErr w:type="gramEnd"/>
            <w:r w:rsidRPr="000010A7">
              <w:t xml:space="preserve">:  </w:t>
            </w:r>
            <w:r w:rsidR="00A62C32" w:rsidRPr="000010A7">
              <w:t>Credibility</w:t>
            </w:r>
          </w:p>
        </w:tc>
        <w:tc>
          <w:tcPr>
            <w:tcW w:w="7740" w:type="dxa"/>
            <w:shd w:val="clear" w:color="auto" w:fill="auto"/>
          </w:tcPr>
          <w:p w14:paraId="5CCF364A" w14:textId="10BBCCF5" w:rsidR="00EC1D30" w:rsidRPr="000010A7" w:rsidRDefault="00EC1D30" w:rsidP="00EC1D30">
            <w:pPr>
              <w:pStyle w:val="BlockText"/>
            </w:pPr>
            <w:r w:rsidRPr="000010A7">
              <w:rPr>
                <w:b/>
                <w:i/>
              </w:rPr>
              <w:t>Credibility</w:t>
            </w:r>
            <w:r w:rsidRPr="000010A7">
              <w:t xml:space="preserve"> is a blanket term for the fact finding of whether evidence is believable or not believable.  </w:t>
            </w:r>
          </w:p>
          <w:p w14:paraId="1462ADE5" w14:textId="77777777" w:rsidR="00EC1D30" w:rsidRPr="000010A7" w:rsidRDefault="00EC1D30" w:rsidP="00EC1D30">
            <w:pPr>
              <w:pStyle w:val="BlockText"/>
            </w:pPr>
          </w:p>
          <w:p w14:paraId="28B5EB15" w14:textId="77777777" w:rsidR="00EC1D30" w:rsidRPr="000010A7" w:rsidRDefault="00EC1D30" w:rsidP="00EC1D30">
            <w:pPr>
              <w:pStyle w:val="BlockText"/>
            </w:pPr>
            <w:r w:rsidRPr="000010A7">
              <w:t>Except in the case of claims to reopen</w:t>
            </w:r>
            <w:r w:rsidR="00FA29CF" w:rsidRPr="000010A7">
              <w:t>,</w:t>
            </w:r>
            <w:r w:rsidRPr="000010A7">
              <w:t xml:space="preserve"> there is generally not a formal presumption of credibility.  However, as a matter of policy, VA decision makers should accept evidence at face value unless called into question by other evidence of record or sound medical or legal principles.  VA decision makers are expected to make credibility determinations when credibility is raised by the evidence available.</w:t>
            </w:r>
          </w:p>
          <w:p w14:paraId="660843A4" w14:textId="77777777" w:rsidR="00EC1D30" w:rsidRPr="000010A7" w:rsidRDefault="00EC1D30" w:rsidP="00EC1D30">
            <w:pPr>
              <w:pStyle w:val="BlockText"/>
            </w:pPr>
          </w:p>
          <w:p w14:paraId="6617E190" w14:textId="77777777" w:rsidR="00EC1D30" w:rsidRPr="000010A7" w:rsidRDefault="00EC1D30" w:rsidP="00EC1D30">
            <w:pPr>
              <w:pStyle w:val="BlockText"/>
            </w:pPr>
            <w:r w:rsidRPr="000010A7">
              <w:t>Factors to consider in making a fact finding of credibility include</w:t>
            </w:r>
          </w:p>
          <w:p w14:paraId="3D353C3C" w14:textId="77777777" w:rsidR="00EC1D30" w:rsidRPr="000010A7" w:rsidRDefault="00EC1D30" w:rsidP="00EC1D30">
            <w:pPr>
              <w:pStyle w:val="BlockText"/>
            </w:pPr>
            <w:r w:rsidRPr="000010A7">
              <w:t xml:space="preserve"> </w:t>
            </w:r>
          </w:p>
          <w:p w14:paraId="3E54AB5B" w14:textId="77777777" w:rsidR="00EC1D30" w:rsidRPr="000010A7" w:rsidRDefault="00EC1D30" w:rsidP="00EC1D30">
            <w:pPr>
              <w:pStyle w:val="BulletText1"/>
            </w:pPr>
            <w:r w:rsidRPr="000010A7">
              <w:t xml:space="preserve">facial plausibility </w:t>
            </w:r>
          </w:p>
          <w:p w14:paraId="513E8891" w14:textId="77777777" w:rsidR="00EC1D30" w:rsidRPr="000010A7" w:rsidRDefault="00EC1D30" w:rsidP="00EC1D30">
            <w:pPr>
              <w:pStyle w:val="BulletText1"/>
            </w:pPr>
            <w:r w:rsidRPr="000010A7">
              <w:t>consistency with other evidence submitted</w:t>
            </w:r>
          </w:p>
          <w:p w14:paraId="6709F997" w14:textId="77777777" w:rsidR="00EC1D30" w:rsidRPr="000010A7" w:rsidRDefault="00EC1D30" w:rsidP="00EC1D30">
            <w:pPr>
              <w:pStyle w:val="BulletText1"/>
            </w:pPr>
            <w:r w:rsidRPr="000010A7">
              <w:t xml:space="preserve">internal consistency </w:t>
            </w:r>
          </w:p>
          <w:p w14:paraId="04B90AAC" w14:textId="77777777" w:rsidR="00EC1D30" w:rsidRPr="000010A7" w:rsidRDefault="00EC1D30" w:rsidP="00EC1D30">
            <w:pPr>
              <w:pStyle w:val="BulletText1"/>
            </w:pPr>
            <w:r w:rsidRPr="000010A7">
              <w:t>demeanor of a witness (who is offering in person testimonial evidence), and</w:t>
            </w:r>
          </w:p>
          <w:p w14:paraId="49DB22C7" w14:textId="77777777" w:rsidR="00EE66C3" w:rsidRPr="000010A7" w:rsidRDefault="00EC1D30" w:rsidP="00EE66C3">
            <w:pPr>
              <w:pStyle w:val="BulletText1"/>
            </w:pPr>
            <w:proofErr w:type="gramStart"/>
            <w:r w:rsidRPr="000010A7">
              <w:t>interest/bias</w:t>
            </w:r>
            <w:proofErr w:type="gramEnd"/>
            <w:r w:rsidRPr="000010A7">
              <w:t>.</w:t>
            </w:r>
          </w:p>
          <w:p w14:paraId="76D21244" w14:textId="77777777" w:rsidR="00EE66C3" w:rsidRPr="000010A7" w:rsidRDefault="00EE66C3" w:rsidP="00EE66C3">
            <w:pPr>
              <w:pStyle w:val="BulletText1"/>
              <w:numPr>
                <w:ilvl w:val="0"/>
                <w:numId w:val="0"/>
              </w:numPr>
              <w:ind w:left="173" w:hanging="173"/>
            </w:pPr>
          </w:p>
          <w:p w14:paraId="7413C312" w14:textId="77777777" w:rsidR="00EE66C3" w:rsidRPr="000010A7" w:rsidRDefault="00EE66C3" w:rsidP="00EE66C3">
            <w:pPr>
              <w:pStyle w:val="BulletText1"/>
              <w:numPr>
                <w:ilvl w:val="0"/>
                <w:numId w:val="0"/>
              </w:numPr>
              <w:ind w:left="173" w:hanging="173"/>
            </w:pPr>
            <w:r w:rsidRPr="000010A7">
              <w:rPr>
                <w:b/>
                <w:i/>
              </w:rPr>
              <w:t>Example</w:t>
            </w:r>
            <w:r w:rsidRPr="000010A7">
              <w:t xml:space="preserve">:  Veteran submits a statement as part of his claim for service </w:t>
            </w:r>
          </w:p>
          <w:p w14:paraId="352F79DC" w14:textId="77777777" w:rsidR="00EE66C3" w:rsidRPr="000010A7" w:rsidRDefault="00EE66C3" w:rsidP="00EE66C3">
            <w:pPr>
              <w:pStyle w:val="BulletText1"/>
              <w:numPr>
                <w:ilvl w:val="0"/>
                <w:numId w:val="0"/>
              </w:numPr>
              <w:ind w:left="173" w:hanging="173"/>
            </w:pPr>
            <w:r w:rsidRPr="000010A7">
              <w:t xml:space="preserve">connection that he injured his low back in the Air Force while loading cargo </w:t>
            </w:r>
          </w:p>
          <w:p w14:paraId="7962AB2F" w14:textId="77777777" w:rsidR="00EE66C3" w:rsidRPr="000010A7" w:rsidRDefault="00EE66C3" w:rsidP="00EE66C3">
            <w:pPr>
              <w:pStyle w:val="BulletText1"/>
              <w:numPr>
                <w:ilvl w:val="0"/>
                <w:numId w:val="0"/>
              </w:numPr>
              <w:ind w:left="173" w:hanging="173"/>
            </w:pPr>
            <w:proofErr w:type="gramStart"/>
            <w:r w:rsidRPr="000010A7">
              <w:t>onto</w:t>
            </w:r>
            <w:proofErr w:type="gramEnd"/>
            <w:r w:rsidRPr="000010A7">
              <w:t xml:space="preserve"> a C-130 aircraft during an exercise in July 2002.  Personnel records </w:t>
            </w:r>
          </w:p>
          <w:p w14:paraId="594E281A" w14:textId="77777777" w:rsidR="00EE66C3" w:rsidRPr="000010A7" w:rsidRDefault="00EE66C3" w:rsidP="00EE66C3">
            <w:pPr>
              <w:pStyle w:val="BulletText1"/>
              <w:numPr>
                <w:ilvl w:val="0"/>
                <w:numId w:val="0"/>
              </w:numPr>
              <w:ind w:left="173" w:hanging="173"/>
            </w:pPr>
            <w:r w:rsidRPr="000010A7">
              <w:t xml:space="preserve">reveal the Veteran served in the Air Force as a loadmaster and participated in </w:t>
            </w:r>
          </w:p>
          <w:p w14:paraId="26655B38" w14:textId="77777777" w:rsidR="00F322DA" w:rsidRPr="000010A7" w:rsidRDefault="00EE66C3" w:rsidP="00EE66C3">
            <w:pPr>
              <w:pStyle w:val="BulletText1"/>
              <w:numPr>
                <w:ilvl w:val="0"/>
                <w:numId w:val="0"/>
              </w:numPr>
              <w:ind w:left="173" w:hanging="173"/>
            </w:pPr>
            <w:proofErr w:type="gramStart"/>
            <w:r w:rsidRPr="000010A7">
              <w:t>a</w:t>
            </w:r>
            <w:proofErr w:type="gramEnd"/>
            <w:r w:rsidRPr="000010A7">
              <w:t xml:space="preserve"> military exercise in the Philippines in July 2002.  </w:t>
            </w:r>
          </w:p>
          <w:p w14:paraId="19692ACB" w14:textId="77777777" w:rsidR="00EE66C3" w:rsidRPr="000010A7" w:rsidRDefault="00EE66C3" w:rsidP="00EE66C3">
            <w:pPr>
              <w:pStyle w:val="BulletText1"/>
              <w:numPr>
                <w:ilvl w:val="0"/>
                <w:numId w:val="0"/>
              </w:numPr>
              <w:ind w:left="173" w:hanging="173"/>
            </w:pPr>
            <w:r w:rsidRPr="000010A7">
              <w:t xml:space="preserve">  </w:t>
            </w:r>
          </w:p>
          <w:p w14:paraId="729B711B" w14:textId="77777777" w:rsidR="00EE66C3" w:rsidRPr="000010A7" w:rsidRDefault="00EE66C3" w:rsidP="00EE66C3">
            <w:pPr>
              <w:pStyle w:val="BulletText1"/>
              <w:numPr>
                <w:ilvl w:val="0"/>
                <w:numId w:val="0"/>
              </w:numPr>
              <w:ind w:left="173" w:hanging="173"/>
            </w:pPr>
            <w:r w:rsidRPr="000010A7">
              <w:rPr>
                <w:b/>
                <w:i/>
              </w:rPr>
              <w:t>Analysis</w:t>
            </w:r>
            <w:r w:rsidRPr="000010A7">
              <w:t xml:space="preserve">:  The Veteran’s statement, when viewed along with the evidence of </w:t>
            </w:r>
          </w:p>
          <w:p w14:paraId="504EFDF6" w14:textId="77777777" w:rsidR="00EE66C3" w:rsidRPr="000010A7" w:rsidRDefault="00EE66C3" w:rsidP="00EE66C3">
            <w:pPr>
              <w:pStyle w:val="BulletText1"/>
              <w:numPr>
                <w:ilvl w:val="0"/>
                <w:numId w:val="0"/>
              </w:numPr>
              <w:ind w:left="173" w:hanging="173"/>
            </w:pPr>
            <w:proofErr w:type="gramStart"/>
            <w:r w:rsidRPr="000010A7">
              <w:t>record</w:t>
            </w:r>
            <w:proofErr w:type="gramEnd"/>
            <w:r w:rsidRPr="000010A7">
              <w:t xml:space="preserve">, appears believable.  Therefore, the statement is credible.   </w:t>
            </w:r>
          </w:p>
          <w:p w14:paraId="0171A874" w14:textId="77777777" w:rsidR="00EE66C3" w:rsidRPr="000010A7" w:rsidRDefault="00EE66C3" w:rsidP="00EE66C3">
            <w:pPr>
              <w:pStyle w:val="BulletText1"/>
              <w:numPr>
                <w:ilvl w:val="0"/>
                <w:numId w:val="0"/>
              </w:numPr>
              <w:ind w:left="173" w:hanging="173"/>
            </w:pPr>
          </w:p>
          <w:p w14:paraId="005814B4" w14:textId="77777777" w:rsidR="00EE66C3" w:rsidRPr="000010A7" w:rsidRDefault="00EE66C3" w:rsidP="00EE66C3">
            <w:pPr>
              <w:pStyle w:val="BulletText1"/>
              <w:numPr>
                <w:ilvl w:val="0"/>
                <w:numId w:val="0"/>
              </w:numPr>
              <w:ind w:left="173" w:hanging="173"/>
            </w:pPr>
            <w:r w:rsidRPr="000010A7">
              <w:rPr>
                <w:b/>
                <w:i/>
              </w:rPr>
              <w:t>Example</w:t>
            </w:r>
            <w:r w:rsidRPr="000010A7">
              <w:t xml:space="preserve">:  Veteran submits a statement along with his claim indicating he </w:t>
            </w:r>
          </w:p>
          <w:p w14:paraId="4E1EF776" w14:textId="77777777" w:rsidR="00EE66C3" w:rsidRPr="000010A7" w:rsidRDefault="00EE66C3" w:rsidP="00EE66C3">
            <w:pPr>
              <w:pStyle w:val="BulletText1"/>
              <w:numPr>
                <w:ilvl w:val="0"/>
                <w:numId w:val="0"/>
              </w:numPr>
              <w:ind w:left="173" w:hanging="173"/>
            </w:pPr>
            <w:r w:rsidRPr="000010A7">
              <w:t xml:space="preserve">injured his low back during multiple parachute jumps in the Army from 1980 </w:t>
            </w:r>
          </w:p>
          <w:p w14:paraId="15084671" w14:textId="77777777" w:rsidR="00EE66C3" w:rsidRPr="000010A7" w:rsidRDefault="00EE66C3" w:rsidP="00EE66C3">
            <w:pPr>
              <w:pStyle w:val="BulletText1"/>
              <w:numPr>
                <w:ilvl w:val="0"/>
                <w:numId w:val="0"/>
              </w:numPr>
              <w:ind w:left="173" w:hanging="173"/>
            </w:pPr>
            <w:proofErr w:type="gramStart"/>
            <w:r w:rsidRPr="000010A7">
              <w:t>through</w:t>
            </w:r>
            <w:proofErr w:type="gramEnd"/>
            <w:r w:rsidRPr="000010A7">
              <w:t xml:space="preserve"> 1983.  Personnel records reveal Veteran’s occupation during service </w:t>
            </w:r>
          </w:p>
          <w:p w14:paraId="79831F95" w14:textId="77777777" w:rsidR="00EE66C3" w:rsidRPr="000010A7" w:rsidRDefault="00EE66C3" w:rsidP="00EE66C3">
            <w:pPr>
              <w:pStyle w:val="BulletText1"/>
              <w:numPr>
                <w:ilvl w:val="0"/>
                <w:numId w:val="0"/>
              </w:numPr>
              <w:ind w:left="173" w:hanging="173"/>
            </w:pPr>
            <w:proofErr w:type="gramStart"/>
            <w:r w:rsidRPr="000010A7">
              <w:t>was</w:t>
            </w:r>
            <w:proofErr w:type="gramEnd"/>
            <w:r w:rsidRPr="000010A7">
              <w:t xml:space="preserve"> “clerk.”  There were no records indicating that the Veteran was involved </w:t>
            </w:r>
          </w:p>
          <w:p w14:paraId="365FA2B9" w14:textId="77777777" w:rsidR="00EE66C3" w:rsidRPr="000010A7" w:rsidRDefault="00EE66C3" w:rsidP="00EE66C3">
            <w:pPr>
              <w:pStyle w:val="BulletText1"/>
              <w:numPr>
                <w:ilvl w:val="0"/>
                <w:numId w:val="0"/>
              </w:numPr>
              <w:ind w:left="173" w:hanging="173"/>
            </w:pPr>
            <w:proofErr w:type="gramStart"/>
            <w:r w:rsidRPr="000010A7">
              <w:t>in</w:t>
            </w:r>
            <w:proofErr w:type="gramEnd"/>
            <w:r w:rsidRPr="000010A7">
              <w:t xml:space="preserve"> parachuting operations.</w:t>
            </w:r>
          </w:p>
          <w:p w14:paraId="0DF255F9" w14:textId="77777777" w:rsidR="00F322DA" w:rsidRPr="000010A7" w:rsidRDefault="00F322DA" w:rsidP="00EE66C3">
            <w:pPr>
              <w:pStyle w:val="BulletText1"/>
              <w:numPr>
                <w:ilvl w:val="0"/>
                <w:numId w:val="0"/>
              </w:numPr>
              <w:ind w:left="173" w:hanging="173"/>
            </w:pPr>
          </w:p>
          <w:p w14:paraId="24D8DEDE" w14:textId="77777777" w:rsidR="00EE66C3" w:rsidRPr="000010A7" w:rsidRDefault="00EE66C3" w:rsidP="00EE66C3">
            <w:pPr>
              <w:pStyle w:val="BulletText1"/>
              <w:numPr>
                <w:ilvl w:val="0"/>
                <w:numId w:val="0"/>
              </w:numPr>
              <w:ind w:left="173" w:hanging="173"/>
            </w:pPr>
            <w:r w:rsidRPr="000010A7">
              <w:rPr>
                <w:b/>
                <w:i/>
              </w:rPr>
              <w:t>Analysis</w:t>
            </w:r>
            <w:r w:rsidRPr="000010A7">
              <w:t xml:space="preserve">:  The Veteran’s statement, when viewed with other evidence, is not </w:t>
            </w:r>
          </w:p>
          <w:p w14:paraId="2EEAA0F9" w14:textId="77777777" w:rsidR="00EE66C3" w:rsidRPr="000010A7" w:rsidRDefault="00EE66C3" w:rsidP="00EE66C3">
            <w:pPr>
              <w:pStyle w:val="BulletText1"/>
              <w:numPr>
                <w:ilvl w:val="0"/>
                <w:numId w:val="0"/>
              </w:numPr>
              <w:ind w:left="173" w:hanging="173"/>
            </w:pPr>
            <w:proofErr w:type="gramStart"/>
            <w:r w:rsidRPr="000010A7">
              <w:t>believable</w:t>
            </w:r>
            <w:proofErr w:type="gramEnd"/>
            <w:r w:rsidRPr="000010A7">
              <w:t xml:space="preserve">.  Therefore, the statement is not credible. </w:t>
            </w:r>
          </w:p>
          <w:p w14:paraId="7A2E3E61" w14:textId="77777777" w:rsidR="00EC1D30" w:rsidRPr="000010A7" w:rsidRDefault="00EC1D30" w:rsidP="00EC1D30">
            <w:pPr>
              <w:pStyle w:val="BulletText1"/>
              <w:numPr>
                <w:ilvl w:val="0"/>
                <w:numId w:val="0"/>
              </w:numPr>
              <w:ind w:left="173"/>
            </w:pPr>
          </w:p>
          <w:p w14:paraId="5B1C0BD8" w14:textId="77777777" w:rsidR="00AD5525" w:rsidRPr="000010A7" w:rsidRDefault="00EC1D30" w:rsidP="00A62C32">
            <w:pPr>
              <w:pStyle w:val="BlockText"/>
            </w:pPr>
            <w:r w:rsidRPr="000010A7">
              <w:rPr>
                <w:b/>
                <w:i/>
              </w:rPr>
              <w:t>Reference</w:t>
            </w:r>
            <w:r w:rsidRPr="000010A7">
              <w:t xml:space="preserve">:  For more information on findings of credibility, see </w:t>
            </w:r>
            <w:hyperlink r:id="rId41" w:anchor="bmc" w:history="1">
              <w:proofErr w:type="spellStart"/>
              <w:r w:rsidRPr="000010A7">
                <w:rPr>
                  <w:rStyle w:val="Hyperlink"/>
                  <w:i/>
                </w:rPr>
                <w:t>Caluza</w:t>
              </w:r>
              <w:proofErr w:type="spellEnd"/>
              <w:r w:rsidRPr="000010A7">
                <w:rPr>
                  <w:rStyle w:val="Hyperlink"/>
                  <w:i/>
                </w:rPr>
                <w:t xml:space="preserve"> v.</w:t>
              </w:r>
              <w:r w:rsidRPr="000010A7">
                <w:rPr>
                  <w:rStyle w:val="Hyperlink"/>
                </w:rPr>
                <w:t xml:space="preserve"> </w:t>
              </w:r>
              <w:r w:rsidRPr="000010A7">
                <w:rPr>
                  <w:rStyle w:val="Hyperlink"/>
                  <w:i/>
                </w:rPr>
                <w:t>Brown</w:t>
              </w:r>
              <w:r w:rsidRPr="000010A7">
                <w:rPr>
                  <w:rStyle w:val="Hyperlink"/>
                </w:rPr>
                <w:t>,</w:t>
              </w:r>
            </w:hyperlink>
            <w:r w:rsidRPr="000010A7">
              <w:t xml:space="preserve"> 7 </w:t>
            </w:r>
            <w:proofErr w:type="spellStart"/>
            <w:r w:rsidRPr="000010A7">
              <w:t>Vet.App</w:t>
            </w:r>
            <w:proofErr w:type="spellEnd"/>
            <w:r w:rsidRPr="000010A7">
              <w:t xml:space="preserve">. 508 (1995).   </w:t>
            </w:r>
          </w:p>
        </w:tc>
      </w:tr>
    </w:tbl>
    <w:p w14:paraId="23611EB8" w14:textId="77777777" w:rsidR="00AD5525" w:rsidRPr="000010A7" w:rsidRDefault="00AD5525">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F322DA" w:rsidRPr="000010A7" w14:paraId="02A762E1" w14:textId="77777777" w:rsidTr="00F322DA">
        <w:tc>
          <w:tcPr>
            <w:tcW w:w="1728" w:type="dxa"/>
            <w:shd w:val="clear" w:color="auto" w:fill="auto"/>
          </w:tcPr>
          <w:p w14:paraId="5FE430F7" w14:textId="77777777" w:rsidR="00F322DA" w:rsidRPr="000010A7" w:rsidRDefault="00F322DA" w:rsidP="00F322DA">
            <w:pPr>
              <w:rPr>
                <w:b/>
                <w:sz w:val="22"/>
              </w:rPr>
            </w:pPr>
            <w:r w:rsidRPr="000010A7">
              <w:rPr>
                <w:b/>
                <w:sz w:val="22"/>
              </w:rPr>
              <w:t>c.  Definition:  Competent Evidence</w:t>
            </w:r>
          </w:p>
        </w:tc>
        <w:tc>
          <w:tcPr>
            <w:tcW w:w="7740" w:type="dxa"/>
            <w:shd w:val="clear" w:color="auto" w:fill="auto"/>
          </w:tcPr>
          <w:p w14:paraId="50374F71" w14:textId="77777777" w:rsidR="00F322DA" w:rsidRPr="000010A7" w:rsidRDefault="00F322DA" w:rsidP="00F322DA">
            <w:pPr>
              <w:pStyle w:val="BlockText"/>
            </w:pPr>
            <w:r w:rsidRPr="000010A7">
              <w:rPr>
                <w:b/>
                <w:i/>
              </w:rPr>
              <w:t>Competent evidence</w:t>
            </w:r>
            <w:r w:rsidRPr="000010A7">
              <w:t xml:space="preserve"> refers generally to evidence offered from a qualified source.  A determination of evidentiary competency involves analysis of whether a person offering evidence is qualified to establish a matter.  </w:t>
            </w:r>
          </w:p>
          <w:p w14:paraId="74EF887A" w14:textId="77777777" w:rsidR="00F322DA" w:rsidRPr="000010A7" w:rsidRDefault="00F322DA" w:rsidP="00F322DA">
            <w:pPr>
              <w:pStyle w:val="BlockText"/>
            </w:pPr>
          </w:p>
          <w:p w14:paraId="245395C6" w14:textId="77777777" w:rsidR="00F322DA" w:rsidRPr="000010A7" w:rsidRDefault="00F322DA" w:rsidP="00F322DA">
            <w:pPr>
              <w:pStyle w:val="BlockText"/>
            </w:pPr>
            <w:r w:rsidRPr="000010A7">
              <w:rPr>
                <w:b/>
                <w:i/>
              </w:rPr>
              <w:t>Competent medical evidence</w:t>
            </w:r>
            <w:r w:rsidRPr="000010A7">
              <w:t xml:space="preserve"> means evidence provided by a person who is qualified through education, training, or experience to offer medical diagnoses, statements, or opinions.  Competent medical evidence may also mean statements conveying sound medical principles found in medical treatises.  It would also include statements contained in authoritative writings such as medical and scientific articles and research reports or analyses.</w:t>
            </w:r>
          </w:p>
          <w:p w14:paraId="35A5A486" w14:textId="77777777" w:rsidR="00F322DA" w:rsidRPr="000010A7" w:rsidRDefault="00F322DA" w:rsidP="00F322DA">
            <w:pPr>
              <w:pStyle w:val="BlockText"/>
            </w:pPr>
          </w:p>
          <w:p w14:paraId="2EA5691F" w14:textId="77777777" w:rsidR="00F322DA" w:rsidRPr="000010A7" w:rsidRDefault="00F322DA" w:rsidP="00F322DA">
            <w:pPr>
              <w:pStyle w:val="BlockText"/>
            </w:pPr>
            <w:r w:rsidRPr="000010A7">
              <w:rPr>
                <w:b/>
                <w:i/>
              </w:rPr>
              <w:t>Competent lay evidence</w:t>
            </w:r>
            <w:r w:rsidRPr="000010A7">
              <w:t xml:space="preserve"> means any evidence not requiring that the proponent have specialized education, training, or experience.  Lay evidence is competent if it is provided by a person who has knowledge of facts or circumstances and conveys matters that can be observed and described by a lay person.</w:t>
            </w:r>
          </w:p>
          <w:p w14:paraId="1ABE85D5" w14:textId="77777777" w:rsidR="00F322DA" w:rsidRPr="000010A7" w:rsidRDefault="00F322DA" w:rsidP="00F322DA">
            <w:pPr>
              <w:pStyle w:val="BlockText"/>
            </w:pPr>
          </w:p>
          <w:p w14:paraId="1A20FF5E" w14:textId="77777777" w:rsidR="00F322DA" w:rsidRPr="000010A7" w:rsidRDefault="00F322DA" w:rsidP="00F322DA">
            <w:pPr>
              <w:pStyle w:val="BlockText"/>
            </w:pPr>
            <w:r w:rsidRPr="000010A7">
              <w:rPr>
                <w:b/>
                <w:i/>
              </w:rPr>
              <w:t>References</w:t>
            </w:r>
            <w:r w:rsidRPr="000010A7">
              <w:t>:  For more information on</w:t>
            </w:r>
          </w:p>
          <w:p w14:paraId="7EF17B75" w14:textId="77777777" w:rsidR="00F322DA" w:rsidRPr="000010A7" w:rsidRDefault="00F322DA" w:rsidP="00F322DA">
            <w:pPr>
              <w:pStyle w:val="ListParagraph"/>
              <w:numPr>
                <w:ilvl w:val="0"/>
                <w:numId w:val="4"/>
              </w:numPr>
              <w:ind w:left="158" w:hanging="187"/>
            </w:pPr>
            <w:r w:rsidRPr="000010A7">
              <w:t xml:space="preserve">competent medical evidence, see </w:t>
            </w:r>
            <w:hyperlink r:id="rId42" w:history="1">
              <w:r w:rsidRPr="000010A7">
                <w:rPr>
                  <w:rStyle w:val="Hyperlink"/>
                </w:rPr>
                <w:t>38 CFR 3.159(a)(1)</w:t>
              </w:r>
            </w:hyperlink>
          </w:p>
          <w:p w14:paraId="111A2E32" w14:textId="77777777" w:rsidR="00F322DA" w:rsidRPr="000010A7" w:rsidRDefault="00F322DA" w:rsidP="00F322DA">
            <w:pPr>
              <w:pStyle w:val="ListParagraph"/>
              <w:numPr>
                <w:ilvl w:val="0"/>
                <w:numId w:val="4"/>
              </w:numPr>
              <w:ind w:left="158" w:hanging="187"/>
            </w:pPr>
            <w:r w:rsidRPr="000010A7">
              <w:t xml:space="preserve">competent lay evidence, see </w:t>
            </w:r>
            <w:hyperlink r:id="rId43" w:history="1">
              <w:r w:rsidRPr="000010A7">
                <w:rPr>
                  <w:rStyle w:val="Hyperlink"/>
                </w:rPr>
                <w:t>38 CFR 3.159(a)(2)</w:t>
              </w:r>
            </w:hyperlink>
            <w:r w:rsidRPr="000010A7">
              <w:t>, and</w:t>
            </w:r>
          </w:p>
          <w:p w14:paraId="346ADCDA" w14:textId="77777777" w:rsidR="00F322DA" w:rsidRPr="000010A7" w:rsidRDefault="00F322DA" w:rsidP="00F322DA">
            <w:proofErr w:type="gramStart"/>
            <w:r w:rsidRPr="000010A7">
              <w:t>medical</w:t>
            </w:r>
            <w:proofErr w:type="gramEnd"/>
            <w:r w:rsidRPr="000010A7">
              <w:t xml:space="preserve"> treatises being used for definitional purposes for presumptive service connection, see M21-1, Part IV, Subpart ii, 2.B.   </w:t>
            </w:r>
          </w:p>
        </w:tc>
      </w:tr>
    </w:tbl>
    <w:p w14:paraId="6A88F062" w14:textId="77777777" w:rsidR="00F322DA" w:rsidRPr="000010A7" w:rsidRDefault="00F322DA" w:rsidP="00F322DA"/>
    <w:tbl>
      <w:tblPr>
        <w:tblW w:w="0" w:type="auto"/>
        <w:tblLayout w:type="fixed"/>
        <w:tblLook w:val="0000" w:firstRow="0" w:lastRow="0" w:firstColumn="0" w:lastColumn="0" w:noHBand="0" w:noVBand="0"/>
      </w:tblPr>
      <w:tblGrid>
        <w:gridCol w:w="1728"/>
        <w:gridCol w:w="7740"/>
      </w:tblGrid>
      <w:tr w:rsidR="00AD5525" w:rsidRPr="000010A7" w14:paraId="3290A10E" w14:textId="77777777" w:rsidTr="001B1806">
        <w:trPr>
          <w:cantSplit/>
        </w:trPr>
        <w:tc>
          <w:tcPr>
            <w:tcW w:w="1728" w:type="dxa"/>
            <w:shd w:val="clear" w:color="auto" w:fill="auto"/>
          </w:tcPr>
          <w:p w14:paraId="227AC49C" w14:textId="4FE66275" w:rsidR="00AD5525" w:rsidRPr="000010A7" w:rsidRDefault="00F322DA" w:rsidP="00F322DA">
            <w:pPr>
              <w:pStyle w:val="Heading5"/>
            </w:pPr>
            <w:proofErr w:type="gramStart"/>
            <w:r w:rsidRPr="000010A7">
              <w:t>d</w:t>
            </w:r>
            <w:r w:rsidR="00AD5525" w:rsidRPr="000010A7">
              <w:t>.  Definition</w:t>
            </w:r>
            <w:proofErr w:type="gramEnd"/>
            <w:r w:rsidR="00AD5525" w:rsidRPr="000010A7">
              <w:t xml:space="preserve">:  Probative </w:t>
            </w:r>
            <w:r w:rsidRPr="000010A7">
              <w:t>Value</w:t>
            </w:r>
            <w:r w:rsidRPr="000010A7" w:rsidDel="00F322DA">
              <w:t xml:space="preserve"> </w:t>
            </w:r>
          </w:p>
        </w:tc>
        <w:tc>
          <w:tcPr>
            <w:tcW w:w="7740" w:type="dxa"/>
            <w:shd w:val="clear" w:color="auto" w:fill="auto"/>
          </w:tcPr>
          <w:p w14:paraId="5AD55974" w14:textId="545C0063" w:rsidR="00F322DA" w:rsidRPr="000010A7" w:rsidRDefault="00F322DA" w:rsidP="00F322DA">
            <w:r w:rsidRPr="000010A7">
              <w:t xml:space="preserve">Evidence has </w:t>
            </w:r>
            <w:r w:rsidRPr="000010A7">
              <w:rPr>
                <w:b/>
                <w:i/>
              </w:rPr>
              <w:t>p</w:t>
            </w:r>
            <w:r w:rsidR="00AD5525" w:rsidRPr="000010A7">
              <w:rPr>
                <w:b/>
                <w:i/>
              </w:rPr>
              <w:t xml:space="preserve">robative </w:t>
            </w:r>
            <w:r w:rsidRPr="000010A7">
              <w:rPr>
                <w:b/>
                <w:i/>
              </w:rPr>
              <w:t>value</w:t>
            </w:r>
            <w:r w:rsidRPr="000010A7">
              <w:t xml:space="preserve"> if it </w:t>
            </w:r>
          </w:p>
          <w:p w14:paraId="45D5AD9A" w14:textId="77777777" w:rsidR="00F322DA" w:rsidRPr="000010A7" w:rsidRDefault="00F322DA" w:rsidP="00F322DA"/>
          <w:p w14:paraId="3171CD74" w14:textId="77777777" w:rsidR="00F322DA" w:rsidRPr="000010A7" w:rsidRDefault="00F322DA" w:rsidP="00F322DA">
            <w:pPr>
              <w:numPr>
                <w:ilvl w:val="0"/>
                <w:numId w:val="29"/>
              </w:numPr>
              <w:ind w:left="158" w:hanging="187"/>
            </w:pPr>
            <w:r w:rsidRPr="000010A7">
              <w:t>makes a matter material to the determination more or less likely, and</w:t>
            </w:r>
          </w:p>
          <w:p w14:paraId="2E168F9F" w14:textId="56177EF9" w:rsidR="00AD5525" w:rsidRPr="000010A7" w:rsidRDefault="00F322DA" w:rsidP="00F322DA">
            <w:pPr>
              <w:pStyle w:val="BlockText"/>
            </w:pPr>
            <w:proofErr w:type="gramStart"/>
            <w:r w:rsidRPr="000010A7">
              <w:t>has</w:t>
            </w:r>
            <w:proofErr w:type="gramEnd"/>
            <w:r w:rsidRPr="000010A7">
              <w:t xml:space="preserve"> sufficient weight, either by itself or in combination with other evidence, to persuade the decision maker about a fact.</w:t>
            </w:r>
          </w:p>
        </w:tc>
      </w:tr>
    </w:tbl>
    <w:p w14:paraId="717F5BD7" w14:textId="77777777" w:rsidR="000968DD" w:rsidRPr="000010A7" w:rsidRDefault="000968DD" w:rsidP="000968DD">
      <w:pPr>
        <w:tabs>
          <w:tab w:val="left" w:pos="9360"/>
        </w:tabs>
        <w:ind w:left="1714"/>
      </w:pPr>
      <w:r w:rsidRPr="000010A7">
        <w:rPr>
          <w:u w:val="single"/>
        </w:rPr>
        <w:tab/>
      </w:r>
    </w:p>
    <w:p w14:paraId="3DF34B6E" w14:textId="77777777" w:rsidR="00DF2BF8" w:rsidRPr="000010A7" w:rsidRDefault="00DF2BF8" w:rsidP="00F640C7"/>
    <w:tbl>
      <w:tblPr>
        <w:tblW w:w="0" w:type="auto"/>
        <w:tblLook w:val="04A0" w:firstRow="1" w:lastRow="0" w:firstColumn="1" w:lastColumn="0" w:noHBand="0" w:noVBand="1"/>
      </w:tblPr>
      <w:tblGrid>
        <w:gridCol w:w="1728"/>
        <w:gridCol w:w="7740"/>
      </w:tblGrid>
      <w:tr w:rsidR="00F640C7" w:rsidRPr="000010A7" w14:paraId="73DE9F4E" w14:textId="77777777" w:rsidTr="003F2536">
        <w:tc>
          <w:tcPr>
            <w:tcW w:w="1728" w:type="dxa"/>
            <w:shd w:val="clear" w:color="auto" w:fill="auto"/>
          </w:tcPr>
          <w:p w14:paraId="39A18C42" w14:textId="77777777" w:rsidR="00F640C7" w:rsidRPr="000010A7" w:rsidRDefault="00F640C7" w:rsidP="00F640C7">
            <w:pPr>
              <w:rPr>
                <w:b/>
                <w:sz w:val="22"/>
              </w:rPr>
            </w:pPr>
            <w:r w:rsidRPr="000010A7">
              <w:rPr>
                <w:b/>
                <w:sz w:val="22"/>
              </w:rPr>
              <w:t>e.  Determining the Probative Value of Evidence</w:t>
            </w:r>
          </w:p>
        </w:tc>
        <w:tc>
          <w:tcPr>
            <w:tcW w:w="7740" w:type="dxa"/>
            <w:shd w:val="clear" w:color="auto" w:fill="auto"/>
          </w:tcPr>
          <w:p w14:paraId="058E9CE4" w14:textId="77777777" w:rsidR="00F640C7" w:rsidRPr="000010A7" w:rsidRDefault="00974941" w:rsidP="00F640C7">
            <w:pPr>
              <w:pStyle w:val="BlockText"/>
            </w:pPr>
            <w:r w:rsidRPr="000010A7">
              <w:t>In determining the probative value of evidence, f</w:t>
            </w:r>
            <w:r w:rsidR="00F640C7" w:rsidRPr="000010A7">
              <w:t>actors such as competency, credibility, thoroughness, precision, relevancy, and date of the ev</w:t>
            </w:r>
            <w:r w:rsidRPr="000010A7">
              <w:t>idence are important considerations</w:t>
            </w:r>
            <w:r w:rsidR="00F640C7" w:rsidRPr="000010A7">
              <w:t xml:space="preserve">.  </w:t>
            </w:r>
          </w:p>
          <w:p w14:paraId="4B25934B" w14:textId="77777777" w:rsidR="00F640C7" w:rsidRPr="000010A7" w:rsidRDefault="00F640C7" w:rsidP="00F640C7">
            <w:pPr>
              <w:pStyle w:val="BlockText"/>
            </w:pPr>
          </w:p>
          <w:p w14:paraId="7B90947C" w14:textId="77777777" w:rsidR="00F640C7" w:rsidRPr="000010A7" w:rsidRDefault="00F640C7" w:rsidP="00F640C7">
            <w:pPr>
              <w:pStyle w:val="BlockText"/>
            </w:pPr>
            <w:r w:rsidRPr="000010A7">
              <w:t>Evidence that is incredible</w:t>
            </w:r>
            <w:r w:rsidR="00974941" w:rsidRPr="000010A7">
              <w:t xml:space="preserve"> (not believable)</w:t>
            </w:r>
            <w:r w:rsidRPr="000010A7">
              <w:t xml:space="preserve"> does not have probative value and is not weighed against probative evidence in determining if the facts are proven. </w:t>
            </w:r>
            <w:r w:rsidR="00974941" w:rsidRPr="000010A7">
              <w:t xml:space="preserve"> </w:t>
            </w:r>
            <w:r w:rsidRPr="000010A7">
              <w:t xml:space="preserve">Evidence from a source that is not competent to establish a fact does not have probative value on that fact. </w:t>
            </w:r>
          </w:p>
          <w:p w14:paraId="749D5CFE" w14:textId="77777777" w:rsidR="006D1FB5" w:rsidRPr="000010A7" w:rsidRDefault="006D1FB5" w:rsidP="00F640C7">
            <w:pPr>
              <w:pStyle w:val="BlockText"/>
            </w:pPr>
          </w:p>
          <w:p w14:paraId="54057788" w14:textId="77777777" w:rsidR="006D1FB5" w:rsidRPr="000010A7" w:rsidRDefault="006D1FB5" w:rsidP="006D1FB5">
            <w:pPr>
              <w:pStyle w:val="BlockText"/>
            </w:pPr>
            <w:r w:rsidRPr="000010A7">
              <w:t>Consider the key elements listed below when evaluating the probative value and relative weight of medical evidence such as a diagnosis/assessment, prognosis, or opinion on etiology/o</w:t>
            </w:r>
            <w:r w:rsidR="00F322DA" w:rsidRPr="000010A7">
              <w:t>nset</w:t>
            </w:r>
            <w:r w:rsidRPr="000010A7">
              <w:t xml:space="preserve"> </w:t>
            </w:r>
          </w:p>
          <w:p w14:paraId="70C76E9A" w14:textId="77777777" w:rsidR="006D1FB5" w:rsidRPr="000010A7" w:rsidRDefault="006D1FB5" w:rsidP="006D1FB5">
            <w:pPr>
              <w:pStyle w:val="BlockText"/>
            </w:pPr>
          </w:p>
          <w:p w14:paraId="2DEAEDC0" w14:textId="77777777" w:rsidR="006D1FB5" w:rsidRPr="000010A7" w:rsidRDefault="006D1FB5" w:rsidP="006D1FB5">
            <w:pPr>
              <w:pStyle w:val="BulletText1"/>
            </w:pPr>
            <w:r w:rsidRPr="000010A7">
              <w:t>physician’s qualifications</w:t>
            </w:r>
          </w:p>
          <w:p w14:paraId="28AFB67E" w14:textId="77777777" w:rsidR="006D1FB5" w:rsidRPr="000010A7" w:rsidRDefault="006D1FB5" w:rsidP="00CF2156">
            <w:pPr>
              <w:numPr>
                <w:ilvl w:val="0"/>
                <w:numId w:val="38"/>
              </w:numPr>
              <w:ind w:left="346" w:hanging="187"/>
            </w:pPr>
            <w:r w:rsidRPr="000010A7">
              <w:t>expertise/specialty, and</w:t>
            </w:r>
          </w:p>
          <w:p w14:paraId="77F8CE25" w14:textId="77777777" w:rsidR="006D1FB5" w:rsidRPr="000010A7" w:rsidRDefault="006D1FB5" w:rsidP="00CF2156">
            <w:pPr>
              <w:numPr>
                <w:ilvl w:val="0"/>
                <w:numId w:val="38"/>
              </w:numPr>
              <w:ind w:left="346" w:hanging="187"/>
            </w:pPr>
            <w:r w:rsidRPr="000010A7">
              <w:t>experience</w:t>
            </w:r>
          </w:p>
          <w:p w14:paraId="1F09617F" w14:textId="77777777" w:rsidR="006D1FB5" w:rsidRPr="000010A7" w:rsidRDefault="006D1FB5" w:rsidP="006D1FB5">
            <w:pPr>
              <w:pStyle w:val="BulletText1"/>
            </w:pPr>
            <w:r w:rsidRPr="000010A7">
              <w:t>physician’s knowledge of the relevant history</w:t>
            </w:r>
          </w:p>
          <w:p w14:paraId="45EE08F2" w14:textId="77777777" w:rsidR="006D1FB5" w:rsidRPr="000010A7" w:rsidRDefault="006D1FB5" w:rsidP="00CF2156">
            <w:pPr>
              <w:numPr>
                <w:ilvl w:val="0"/>
                <w:numId w:val="39"/>
              </w:numPr>
              <w:ind w:left="346" w:hanging="187"/>
            </w:pPr>
            <w:r w:rsidRPr="000010A7">
              <w:t xml:space="preserve">the accuracy or validity of history provided by the patient or examinee </w:t>
            </w:r>
          </w:p>
          <w:p w14:paraId="57DA1483" w14:textId="77777777" w:rsidR="006D1FB5" w:rsidRPr="000010A7" w:rsidRDefault="006D1FB5" w:rsidP="00CF2156">
            <w:pPr>
              <w:numPr>
                <w:ilvl w:val="0"/>
                <w:numId w:val="39"/>
              </w:numPr>
              <w:ind w:left="346" w:hanging="187"/>
            </w:pPr>
            <w:r w:rsidRPr="000010A7">
              <w:t>review of records and other evidence, or</w:t>
            </w:r>
          </w:p>
          <w:p w14:paraId="6451D54E" w14:textId="77777777" w:rsidR="006D1FB5" w:rsidRPr="000010A7" w:rsidRDefault="006D1FB5" w:rsidP="00CF2156">
            <w:pPr>
              <w:numPr>
                <w:ilvl w:val="0"/>
                <w:numId w:val="39"/>
              </w:numPr>
              <w:ind w:left="346" w:hanging="187"/>
            </w:pPr>
            <w:r w:rsidRPr="000010A7">
              <w:t>length of time the physician has treated the Veteran</w:t>
            </w:r>
          </w:p>
          <w:p w14:paraId="32710ADF" w14:textId="77777777" w:rsidR="006D1FB5" w:rsidRPr="000010A7" w:rsidRDefault="006D1FB5" w:rsidP="006D1FB5">
            <w:pPr>
              <w:pStyle w:val="BulletText1"/>
            </w:pPr>
            <w:r w:rsidRPr="000010A7">
              <w:t>context in which the medical evidence was created</w:t>
            </w:r>
          </w:p>
          <w:p w14:paraId="35BAD851" w14:textId="77777777" w:rsidR="006D1FB5" w:rsidRPr="000010A7" w:rsidRDefault="006D1FB5" w:rsidP="00CF2156">
            <w:pPr>
              <w:numPr>
                <w:ilvl w:val="0"/>
                <w:numId w:val="40"/>
              </w:numPr>
              <w:ind w:left="346" w:hanging="187"/>
            </w:pPr>
            <w:r w:rsidRPr="000010A7">
              <w:t>treatment, or</w:t>
            </w:r>
          </w:p>
          <w:p w14:paraId="5C0963F4" w14:textId="77777777" w:rsidR="006D1FB5" w:rsidRPr="000010A7" w:rsidRDefault="006D1FB5" w:rsidP="00CF2156">
            <w:pPr>
              <w:numPr>
                <w:ilvl w:val="0"/>
                <w:numId w:val="40"/>
              </w:numPr>
              <w:ind w:left="346" w:hanging="187"/>
            </w:pPr>
            <w:r w:rsidRPr="000010A7">
              <w:t>substantiation of a medical disability claim</w:t>
            </w:r>
          </w:p>
          <w:p w14:paraId="6F4C813F" w14:textId="77777777" w:rsidR="006D1FB5" w:rsidRPr="000010A7" w:rsidRDefault="006D1FB5" w:rsidP="006D1FB5">
            <w:pPr>
              <w:pStyle w:val="BulletText1"/>
            </w:pPr>
            <w:r w:rsidRPr="000010A7">
              <w:t xml:space="preserve">reasoning employed by the physician </w:t>
            </w:r>
          </w:p>
          <w:p w14:paraId="65074685" w14:textId="77777777" w:rsidR="006D1FB5" w:rsidRPr="000010A7" w:rsidRDefault="006D1FB5" w:rsidP="00CF2156">
            <w:pPr>
              <w:numPr>
                <w:ilvl w:val="0"/>
                <w:numId w:val="41"/>
              </w:numPr>
              <w:ind w:left="346" w:hanging="187"/>
            </w:pPr>
            <w:r w:rsidRPr="000010A7">
              <w:t>theory</w:t>
            </w:r>
          </w:p>
          <w:p w14:paraId="63294716" w14:textId="77777777" w:rsidR="006D1FB5" w:rsidRPr="000010A7" w:rsidRDefault="006D1FB5" w:rsidP="00CF2156">
            <w:pPr>
              <w:numPr>
                <w:ilvl w:val="0"/>
                <w:numId w:val="41"/>
              </w:numPr>
              <w:ind w:left="346" w:hanging="187"/>
            </w:pPr>
            <w:r w:rsidRPr="000010A7">
              <w:t>observation</w:t>
            </w:r>
          </w:p>
          <w:p w14:paraId="419910FA" w14:textId="77777777" w:rsidR="006D1FB5" w:rsidRPr="000010A7" w:rsidRDefault="006D1FB5" w:rsidP="00CF2156">
            <w:pPr>
              <w:numPr>
                <w:ilvl w:val="0"/>
                <w:numId w:val="41"/>
              </w:numPr>
              <w:ind w:left="346" w:hanging="187"/>
            </w:pPr>
            <w:r w:rsidRPr="000010A7">
              <w:t>practice</w:t>
            </w:r>
          </w:p>
          <w:p w14:paraId="282D1592" w14:textId="77777777" w:rsidR="006D1FB5" w:rsidRPr="000010A7" w:rsidRDefault="006D1FB5" w:rsidP="00CF2156">
            <w:pPr>
              <w:numPr>
                <w:ilvl w:val="0"/>
                <w:numId w:val="41"/>
              </w:numPr>
              <w:ind w:left="346" w:hanging="187"/>
            </w:pPr>
            <w:r w:rsidRPr="000010A7">
              <w:t>clinical testing</w:t>
            </w:r>
          </w:p>
          <w:p w14:paraId="64A15834" w14:textId="77777777" w:rsidR="006D1FB5" w:rsidRPr="000010A7" w:rsidRDefault="006D1FB5" w:rsidP="00CF2156">
            <w:pPr>
              <w:numPr>
                <w:ilvl w:val="0"/>
                <w:numId w:val="41"/>
              </w:numPr>
              <w:ind w:left="346" w:hanging="187"/>
            </w:pPr>
            <w:r w:rsidRPr="000010A7">
              <w:t>subjective report, and</w:t>
            </w:r>
          </w:p>
          <w:p w14:paraId="1CC1BEC0" w14:textId="77777777" w:rsidR="006D1FB5" w:rsidRPr="000010A7" w:rsidRDefault="00DE7693" w:rsidP="00CF2156">
            <w:pPr>
              <w:numPr>
                <w:ilvl w:val="0"/>
                <w:numId w:val="41"/>
              </w:numPr>
              <w:ind w:left="346" w:hanging="187"/>
            </w:pPr>
            <w:r w:rsidRPr="000010A7">
              <w:t>conjecture</w:t>
            </w:r>
          </w:p>
          <w:p w14:paraId="4FBF88E4" w14:textId="77777777" w:rsidR="00DE7693" w:rsidRPr="000010A7" w:rsidRDefault="006D1FB5" w:rsidP="00C17F48">
            <w:pPr>
              <w:pStyle w:val="BulletText1"/>
            </w:pPr>
            <w:r w:rsidRPr="000010A7">
              <w:t>degree of specificity, and</w:t>
            </w:r>
          </w:p>
          <w:p w14:paraId="01F37510" w14:textId="77777777" w:rsidR="00F640C7" w:rsidRPr="000010A7" w:rsidRDefault="006D1FB5" w:rsidP="00EE66C3">
            <w:pPr>
              <w:pStyle w:val="BulletText1"/>
            </w:pPr>
            <w:proofErr w:type="gramStart"/>
            <w:r w:rsidRPr="000010A7">
              <w:t>degree</w:t>
            </w:r>
            <w:proofErr w:type="gramEnd"/>
            <w:r w:rsidRPr="000010A7">
              <w:t xml:space="preserve"> of certainty.</w:t>
            </w:r>
          </w:p>
        </w:tc>
      </w:tr>
    </w:tbl>
    <w:p w14:paraId="3E9271E4" w14:textId="77777777" w:rsidR="00F640C7" w:rsidRPr="000010A7" w:rsidRDefault="00F640C7" w:rsidP="00F640C7">
      <w:pPr>
        <w:tabs>
          <w:tab w:val="left" w:pos="9360"/>
        </w:tabs>
        <w:ind w:left="1714"/>
      </w:pPr>
      <w:r w:rsidRPr="000010A7">
        <w:rPr>
          <w:u w:val="single"/>
        </w:rPr>
        <w:tab/>
      </w:r>
    </w:p>
    <w:p w14:paraId="132820A8" w14:textId="77777777" w:rsidR="00F640C7" w:rsidRPr="000010A7" w:rsidRDefault="00F640C7" w:rsidP="00F640C7"/>
    <w:tbl>
      <w:tblPr>
        <w:tblW w:w="0" w:type="auto"/>
        <w:tblLayout w:type="fixed"/>
        <w:tblLook w:val="04A0" w:firstRow="1" w:lastRow="0" w:firstColumn="1" w:lastColumn="0" w:noHBand="0" w:noVBand="1"/>
      </w:tblPr>
      <w:tblGrid>
        <w:gridCol w:w="1728"/>
        <w:gridCol w:w="7740"/>
      </w:tblGrid>
      <w:tr w:rsidR="009D71BB" w:rsidRPr="000010A7" w14:paraId="030C054F" w14:textId="77777777" w:rsidTr="0040163C">
        <w:tc>
          <w:tcPr>
            <w:tcW w:w="1728" w:type="dxa"/>
            <w:shd w:val="clear" w:color="auto" w:fill="auto"/>
          </w:tcPr>
          <w:p w14:paraId="215B271D" w14:textId="77777777" w:rsidR="009D71BB" w:rsidRPr="000010A7" w:rsidRDefault="00974941" w:rsidP="009D71BB">
            <w:pPr>
              <w:rPr>
                <w:b/>
                <w:sz w:val="22"/>
              </w:rPr>
            </w:pPr>
            <w:r w:rsidRPr="000010A7">
              <w:rPr>
                <w:b/>
                <w:sz w:val="22"/>
              </w:rPr>
              <w:t>f</w:t>
            </w:r>
            <w:r w:rsidR="009D71BB" w:rsidRPr="000010A7">
              <w:rPr>
                <w:b/>
                <w:sz w:val="22"/>
              </w:rPr>
              <w:t>.  Definitions:  Positive and Negative Evidence</w:t>
            </w:r>
          </w:p>
        </w:tc>
        <w:tc>
          <w:tcPr>
            <w:tcW w:w="7740" w:type="dxa"/>
            <w:shd w:val="clear" w:color="auto" w:fill="auto"/>
          </w:tcPr>
          <w:p w14:paraId="40F84BD7" w14:textId="77777777" w:rsidR="009D71BB" w:rsidRPr="000010A7" w:rsidRDefault="009D71BB" w:rsidP="009D71BB">
            <w:pPr>
              <w:pStyle w:val="BlockText"/>
            </w:pPr>
            <w:r w:rsidRPr="000010A7">
              <w:t>Both positive</w:t>
            </w:r>
            <w:r w:rsidR="00C528C3" w:rsidRPr="000010A7">
              <w:t xml:space="preserve"> and negative evidence may have</w:t>
            </w:r>
            <w:r w:rsidRPr="000010A7">
              <w:t xml:space="preserve"> probative value.</w:t>
            </w:r>
          </w:p>
          <w:p w14:paraId="10825BD0" w14:textId="77777777" w:rsidR="009D71BB" w:rsidRPr="000010A7" w:rsidRDefault="009D71BB" w:rsidP="009D71BB">
            <w:pPr>
              <w:pStyle w:val="BlockText"/>
            </w:pPr>
          </w:p>
          <w:p w14:paraId="7408F2D5" w14:textId="77777777" w:rsidR="00974941" w:rsidRPr="000010A7" w:rsidRDefault="009D71BB" w:rsidP="006D1FB5">
            <w:pPr>
              <w:pStyle w:val="BulletText1"/>
              <w:numPr>
                <w:ilvl w:val="0"/>
                <w:numId w:val="0"/>
              </w:numPr>
              <w:ind w:left="173" w:hanging="173"/>
            </w:pPr>
            <w:r w:rsidRPr="000010A7">
              <w:rPr>
                <w:b/>
                <w:i/>
              </w:rPr>
              <w:t>Positive evidence</w:t>
            </w:r>
            <w:r w:rsidRPr="000010A7">
              <w:t xml:space="preserve"> means actual items of evidence that affirmatively support a </w:t>
            </w:r>
          </w:p>
          <w:p w14:paraId="1658BF08" w14:textId="77777777" w:rsidR="00C528C3" w:rsidRPr="000010A7" w:rsidRDefault="009D71BB" w:rsidP="006D1FB5">
            <w:pPr>
              <w:pStyle w:val="BulletText1"/>
              <w:numPr>
                <w:ilvl w:val="0"/>
                <w:numId w:val="0"/>
              </w:numPr>
              <w:ind w:left="173" w:hanging="173"/>
            </w:pPr>
            <w:proofErr w:type="gramStart"/>
            <w:r w:rsidRPr="000010A7">
              <w:t>claimant’s</w:t>
            </w:r>
            <w:proofErr w:type="gramEnd"/>
            <w:r w:rsidRPr="000010A7">
              <w:t xml:space="preserve"> position.</w:t>
            </w:r>
            <w:r w:rsidR="00974941" w:rsidRPr="000010A7">
              <w:t xml:space="preserve">  </w:t>
            </w:r>
          </w:p>
          <w:p w14:paraId="65A54DBA" w14:textId="77777777" w:rsidR="00C528C3" w:rsidRPr="000010A7" w:rsidRDefault="00C528C3" w:rsidP="006D1FB5">
            <w:pPr>
              <w:pStyle w:val="BulletText1"/>
              <w:numPr>
                <w:ilvl w:val="0"/>
                <w:numId w:val="0"/>
              </w:numPr>
              <w:ind w:left="173" w:hanging="173"/>
            </w:pPr>
          </w:p>
          <w:p w14:paraId="11A3BEC7" w14:textId="77777777" w:rsidR="00974941" w:rsidRPr="000010A7" w:rsidRDefault="009D71BB" w:rsidP="006D1FB5">
            <w:pPr>
              <w:pStyle w:val="BulletText1"/>
              <w:numPr>
                <w:ilvl w:val="0"/>
                <w:numId w:val="0"/>
              </w:numPr>
              <w:ind w:left="173" w:hanging="173"/>
            </w:pPr>
            <w:r w:rsidRPr="000010A7">
              <w:rPr>
                <w:b/>
                <w:i/>
              </w:rPr>
              <w:t>Negative evidence</w:t>
            </w:r>
            <w:r w:rsidRPr="000010A7">
              <w:t xml:space="preserve"> means</w:t>
            </w:r>
          </w:p>
          <w:p w14:paraId="51DA827A" w14:textId="77777777" w:rsidR="009D71BB" w:rsidRPr="000010A7" w:rsidRDefault="009D71BB" w:rsidP="006D1FB5">
            <w:pPr>
              <w:pStyle w:val="BulletText1"/>
              <w:numPr>
                <w:ilvl w:val="0"/>
                <w:numId w:val="0"/>
              </w:numPr>
              <w:ind w:left="173" w:hanging="173"/>
            </w:pPr>
            <w:r w:rsidRPr="000010A7">
              <w:t xml:space="preserve"> </w:t>
            </w:r>
          </w:p>
          <w:p w14:paraId="46CC6646" w14:textId="77777777" w:rsidR="00974941" w:rsidRPr="000010A7" w:rsidRDefault="009D71BB" w:rsidP="00C17F48">
            <w:pPr>
              <w:numPr>
                <w:ilvl w:val="0"/>
                <w:numId w:val="31"/>
              </w:numPr>
              <w:ind w:left="158" w:hanging="187"/>
            </w:pPr>
            <w:r w:rsidRPr="000010A7">
              <w:t>actual items of evidence that affirmatively disprove the claimant’s position, or</w:t>
            </w:r>
          </w:p>
          <w:p w14:paraId="2A7C711C" w14:textId="77777777" w:rsidR="009D71BB" w:rsidRPr="000010A7" w:rsidRDefault="009D71BB" w:rsidP="00C17F48">
            <w:pPr>
              <w:numPr>
                <w:ilvl w:val="0"/>
                <w:numId w:val="31"/>
              </w:numPr>
              <w:ind w:left="158" w:hanging="187"/>
            </w:pPr>
            <w:proofErr w:type="gramStart"/>
            <w:r w:rsidRPr="000010A7">
              <w:t>a</w:t>
            </w:r>
            <w:proofErr w:type="gramEnd"/>
            <w:r w:rsidRPr="000010A7">
              <w:t xml:space="preserve"> negative inference taken from the absence of evidence on a matter supporting </w:t>
            </w:r>
            <w:r w:rsidR="00974941" w:rsidRPr="000010A7">
              <w:t>the claimant’s position</w:t>
            </w:r>
            <w:r w:rsidRPr="000010A7">
              <w:t xml:space="preserve">.  </w:t>
            </w:r>
          </w:p>
        </w:tc>
      </w:tr>
    </w:tbl>
    <w:p w14:paraId="7F345BC5" w14:textId="77777777" w:rsidR="009D71BB" w:rsidRPr="000010A7" w:rsidRDefault="009D71BB" w:rsidP="009D71BB">
      <w:pPr>
        <w:tabs>
          <w:tab w:val="left" w:pos="9360"/>
        </w:tabs>
        <w:ind w:left="1714"/>
      </w:pPr>
      <w:r w:rsidRPr="000010A7">
        <w:rPr>
          <w:u w:val="single"/>
        </w:rPr>
        <w:tab/>
      </w:r>
    </w:p>
    <w:p w14:paraId="16B19DFD" w14:textId="77777777" w:rsidR="009D71BB" w:rsidRPr="000010A7" w:rsidRDefault="009D71BB" w:rsidP="009D71BB">
      <w:pPr>
        <w:ind w:left="1714"/>
      </w:pPr>
    </w:p>
    <w:tbl>
      <w:tblPr>
        <w:tblW w:w="0" w:type="auto"/>
        <w:tblLook w:val="04A0" w:firstRow="1" w:lastRow="0" w:firstColumn="1" w:lastColumn="0" w:noHBand="0" w:noVBand="1"/>
      </w:tblPr>
      <w:tblGrid>
        <w:gridCol w:w="1728"/>
        <w:gridCol w:w="7740"/>
      </w:tblGrid>
      <w:tr w:rsidR="009D71BB" w:rsidRPr="000010A7" w14:paraId="1C3132B0" w14:textId="77777777" w:rsidTr="0040163C">
        <w:tc>
          <w:tcPr>
            <w:tcW w:w="1728" w:type="dxa"/>
            <w:shd w:val="clear" w:color="auto" w:fill="auto"/>
          </w:tcPr>
          <w:p w14:paraId="3706C243" w14:textId="77777777" w:rsidR="009D71BB" w:rsidRPr="000010A7" w:rsidRDefault="00036145" w:rsidP="009D71BB">
            <w:pPr>
              <w:rPr>
                <w:b/>
                <w:sz w:val="22"/>
              </w:rPr>
            </w:pPr>
            <w:r w:rsidRPr="000010A7">
              <w:rPr>
                <w:b/>
                <w:sz w:val="22"/>
              </w:rPr>
              <w:t>g</w:t>
            </w:r>
            <w:r w:rsidR="009D71BB" w:rsidRPr="000010A7">
              <w:rPr>
                <w:b/>
                <w:sz w:val="22"/>
              </w:rPr>
              <w:t>.  Court Holdings on Negative Evidence</w:t>
            </w:r>
          </w:p>
        </w:tc>
        <w:tc>
          <w:tcPr>
            <w:tcW w:w="7740" w:type="dxa"/>
            <w:shd w:val="clear" w:color="auto" w:fill="auto"/>
          </w:tcPr>
          <w:p w14:paraId="19574588" w14:textId="77A124DE" w:rsidR="009D71BB" w:rsidRPr="000010A7" w:rsidRDefault="009D71BB" w:rsidP="009D71BB">
            <w:r w:rsidRPr="000010A7">
              <w:t xml:space="preserve">The court cases </w:t>
            </w:r>
            <w:r w:rsidR="003C5DE9" w:rsidRPr="000010A7">
              <w:t xml:space="preserve">listed below </w:t>
            </w:r>
            <w:r w:rsidRPr="000010A7">
              <w:t>contained significant holdings regarding the consideration of negative evidence</w:t>
            </w:r>
            <w:r w:rsidR="003C5DE9" w:rsidRPr="000010A7">
              <w:t>.</w:t>
            </w:r>
          </w:p>
          <w:p w14:paraId="441326EE" w14:textId="77777777" w:rsidR="009D71BB" w:rsidRPr="000010A7" w:rsidRDefault="009D71BB" w:rsidP="009D71BB"/>
          <w:p w14:paraId="2DC95EF7" w14:textId="77777777" w:rsidR="009D71BB" w:rsidRPr="000010A7" w:rsidRDefault="009D71BB" w:rsidP="009D71BB">
            <w:pPr>
              <w:pStyle w:val="BulletText1"/>
            </w:pPr>
            <w:r w:rsidRPr="000010A7">
              <w:t xml:space="preserve">The U.S. Court of Appeals for the Federal Circuit (Federal Circuit) held in </w:t>
            </w:r>
            <w:hyperlink r:id="rId44" w:anchor="bmf" w:history="1">
              <w:proofErr w:type="spellStart"/>
              <w:r w:rsidRPr="000010A7">
                <w:rPr>
                  <w:rStyle w:val="Hyperlink"/>
                  <w:i/>
                </w:rPr>
                <w:t>Forshey</w:t>
              </w:r>
              <w:proofErr w:type="spellEnd"/>
              <w:r w:rsidRPr="000010A7">
                <w:rPr>
                  <w:rStyle w:val="Hyperlink"/>
                  <w:i/>
                </w:rPr>
                <w:t xml:space="preserve"> v. </w:t>
              </w:r>
              <w:proofErr w:type="spellStart"/>
              <w:r w:rsidRPr="000010A7">
                <w:rPr>
                  <w:rStyle w:val="Hyperlink"/>
                  <w:i/>
                </w:rPr>
                <w:t>Principi</w:t>
              </w:r>
              <w:proofErr w:type="spellEnd"/>
            </w:hyperlink>
            <w:r w:rsidRPr="000010A7">
              <w:t>,</w:t>
            </w:r>
            <w:r w:rsidR="00974941" w:rsidRPr="000010A7">
              <w:t xml:space="preserve"> </w:t>
            </w:r>
            <w:r w:rsidRPr="000010A7">
              <w:rPr>
                <w:szCs w:val="24"/>
              </w:rPr>
              <w:t>2</w:t>
            </w:r>
            <w:r w:rsidRPr="000010A7">
              <w:t>84 F.3d 1335 (Fed. Cir. 2002) (</w:t>
            </w:r>
            <w:proofErr w:type="spellStart"/>
            <w:r w:rsidRPr="000010A7">
              <w:t>en</w:t>
            </w:r>
            <w:proofErr w:type="spellEnd"/>
            <w:r w:rsidRPr="000010A7">
              <w:t xml:space="preserve"> banc) that all evidence bearing on a question, whether positive or negative, could be considered.  The Federal Circuit concluded that it was permissible for VA to consider negative evidence tending to disprove the existence of a cause other than alcohol intoxication of a fatal accident (the road was dry, the weather was clear, the accident occurred during daylight</w:t>
            </w:r>
            <w:r w:rsidR="00974941" w:rsidRPr="000010A7">
              <w:t>,</w:t>
            </w:r>
            <w:r w:rsidRPr="000010A7">
              <w:t xml:space="preserve"> and there was no evidence of malfunction of the vehicle) to rebut the line of duty presumption under </w:t>
            </w:r>
            <w:hyperlink r:id="rId45" w:history="1">
              <w:r w:rsidRPr="000010A7">
                <w:rPr>
                  <w:rStyle w:val="Hyperlink"/>
                </w:rPr>
                <w:t>38 U.S.C 105</w:t>
              </w:r>
            </w:hyperlink>
            <w:r w:rsidRPr="000010A7">
              <w:t xml:space="preserve">. </w:t>
            </w:r>
          </w:p>
          <w:p w14:paraId="214CEFCA" w14:textId="77777777" w:rsidR="009D71BB" w:rsidRPr="000010A7" w:rsidRDefault="00974941" w:rsidP="009D71BB">
            <w:pPr>
              <w:pStyle w:val="BulletText1"/>
            </w:pPr>
            <w:r w:rsidRPr="000010A7">
              <w:rPr>
                <w:szCs w:val="24"/>
              </w:rPr>
              <w:t>The Federal Circuit held in</w:t>
            </w:r>
            <w:r w:rsidR="009D71BB" w:rsidRPr="000010A7">
              <w:rPr>
                <w:szCs w:val="24"/>
              </w:rPr>
              <w:t xml:space="preserve"> </w:t>
            </w:r>
            <w:hyperlink r:id="rId46" w:history="1">
              <w:r w:rsidR="00036145" w:rsidRPr="000010A7">
                <w:rPr>
                  <w:rStyle w:val="Hyperlink"/>
                  <w:i/>
                  <w:szCs w:val="24"/>
                </w:rPr>
                <w:t>AZ, AY v. Shinseki</w:t>
              </w:r>
            </w:hyperlink>
            <w:r w:rsidR="009D71BB" w:rsidRPr="000010A7">
              <w:rPr>
                <w:szCs w:val="24"/>
              </w:rPr>
              <w:t>, 731</w:t>
            </w:r>
            <w:r w:rsidRPr="000010A7">
              <w:rPr>
                <w:szCs w:val="24"/>
              </w:rPr>
              <w:t xml:space="preserve"> F.3d 1303 (Fed.Cir.2013), </w:t>
            </w:r>
            <w:r w:rsidR="009D71BB" w:rsidRPr="000010A7">
              <w:rPr>
                <w:szCs w:val="24"/>
              </w:rPr>
              <w:t>that the absence of a service record documenting an unreported sexual assault or a Veteran’s failure to have reported an alleged assault in service may not be treated as pertinent evidence that the assault did not occur.</w:t>
            </w:r>
            <w:r w:rsidR="00BB2F44" w:rsidRPr="000010A7">
              <w:rPr>
                <w:szCs w:val="24"/>
              </w:rPr>
              <w:t xml:space="preserve">  </w:t>
            </w:r>
          </w:p>
          <w:p w14:paraId="1F97EBDB" w14:textId="77777777" w:rsidR="009D71BB" w:rsidRPr="000010A7" w:rsidRDefault="00036145" w:rsidP="009D71BB">
            <w:pPr>
              <w:pStyle w:val="BulletText1"/>
            </w:pPr>
            <w:r w:rsidRPr="000010A7">
              <w:t xml:space="preserve">The Federal Circuit held in </w:t>
            </w:r>
            <w:hyperlink r:id="rId47" w:anchor="bmm" w:history="1">
              <w:proofErr w:type="spellStart"/>
              <w:r w:rsidR="009D71BB" w:rsidRPr="000010A7">
                <w:rPr>
                  <w:rStyle w:val="Hyperlink"/>
                  <w:i/>
                </w:rPr>
                <w:t>Maxson</w:t>
              </w:r>
              <w:proofErr w:type="spellEnd"/>
              <w:r w:rsidR="009D71BB" w:rsidRPr="000010A7">
                <w:rPr>
                  <w:rStyle w:val="Hyperlink"/>
                  <w:i/>
                </w:rPr>
                <w:t xml:space="preserve"> v. West</w:t>
              </w:r>
            </w:hyperlink>
            <w:r w:rsidR="009D71BB" w:rsidRPr="000010A7">
              <w:t xml:space="preserve">, 12 Vet. App. 453, </w:t>
            </w:r>
            <w:r w:rsidR="009D71BB" w:rsidRPr="000010A7">
              <w:rPr>
                <w:i/>
              </w:rPr>
              <w:t>aff’d sub nom</w:t>
            </w:r>
            <w:r w:rsidR="009D71BB" w:rsidRPr="000010A7">
              <w:t xml:space="preserve"> </w:t>
            </w:r>
            <w:hyperlink r:id="rId48" w:anchor="bmm" w:history="1">
              <w:proofErr w:type="spellStart"/>
              <w:r w:rsidR="009D71BB" w:rsidRPr="000010A7">
                <w:rPr>
                  <w:rStyle w:val="Hyperlink"/>
                  <w:i/>
                </w:rPr>
                <w:t>Maxson</w:t>
              </w:r>
              <w:proofErr w:type="spellEnd"/>
              <w:r w:rsidR="009D71BB" w:rsidRPr="000010A7">
                <w:rPr>
                  <w:rStyle w:val="Hyperlink"/>
                  <w:i/>
                </w:rPr>
                <w:t xml:space="preserve"> v. </w:t>
              </w:r>
              <w:proofErr w:type="spellStart"/>
              <w:r w:rsidR="009D71BB" w:rsidRPr="000010A7">
                <w:rPr>
                  <w:rStyle w:val="Hyperlink"/>
                  <w:i/>
                </w:rPr>
                <w:t>Gober</w:t>
              </w:r>
              <w:proofErr w:type="spellEnd"/>
            </w:hyperlink>
            <w:r w:rsidR="009D71BB" w:rsidRPr="000010A7">
              <w:t>, 230 F.3d 1330 (Fed. Cir. 2000)</w:t>
            </w:r>
            <w:r w:rsidR="009D71BB" w:rsidRPr="000010A7">
              <w:rPr>
                <w:szCs w:val="24"/>
              </w:rPr>
              <w:t xml:space="preserve">, that when rebutting the presumption of aggravation for a condition incurred during combat, </w:t>
            </w:r>
            <w:hyperlink r:id="rId49" w:history="1">
              <w:r w:rsidR="009D71BB" w:rsidRPr="000010A7">
                <w:rPr>
                  <w:rStyle w:val="Hyperlink"/>
                  <w:szCs w:val="24"/>
                </w:rPr>
                <w:t>38 U.S.C. 1154(b)</w:t>
              </w:r>
            </w:hyperlink>
            <w:r w:rsidR="009D71BB" w:rsidRPr="000010A7">
              <w:rPr>
                <w:szCs w:val="24"/>
              </w:rPr>
              <w:t xml:space="preserve"> permits consideration of the entire medical history, including a lengthy period of absence of complaint following service about the claimed condition. </w:t>
            </w:r>
          </w:p>
          <w:p w14:paraId="223FF160" w14:textId="77777777" w:rsidR="009D71BB" w:rsidRPr="000010A7" w:rsidRDefault="00036145" w:rsidP="00C17F48">
            <w:pPr>
              <w:pStyle w:val="ListParagraph"/>
              <w:numPr>
                <w:ilvl w:val="0"/>
                <w:numId w:val="15"/>
              </w:numPr>
              <w:ind w:left="158" w:hanging="187"/>
            </w:pPr>
            <w:r w:rsidRPr="000010A7">
              <w:t>The Federal Circuit held i</w:t>
            </w:r>
            <w:r w:rsidR="009D71BB" w:rsidRPr="000010A7">
              <w:t xml:space="preserve">n </w:t>
            </w:r>
            <w:hyperlink r:id="rId50" w:history="1">
              <w:r w:rsidR="009D71BB" w:rsidRPr="000010A7">
                <w:rPr>
                  <w:rStyle w:val="Hyperlink"/>
                  <w:i/>
                </w:rPr>
                <w:t>Buchanan v. Nicholson</w:t>
              </w:r>
            </w:hyperlink>
            <w:r w:rsidR="009D71BB" w:rsidRPr="000010A7">
              <w:t>, 451 F.3d 1331 (Fed. Cir. 2006</w:t>
            </w:r>
            <w:r w:rsidRPr="000010A7">
              <w:t xml:space="preserve">), </w:t>
            </w:r>
            <w:r w:rsidR="009D71BB" w:rsidRPr="000010A7">
              <w:t xml:space="preserve">that the Board of Veterans’ Appeals (BVA) erred in determining that lay evidence lacked credibility merely because it </w:t>
            </w:r>
            <w:r w:rsidRPr="000010A7">
              <w:t>wa</w:t>
            </w:r>
            <w:r w:rsidR="009D71BB" w:rsidRPr="000010A7">
              <w:t>s unaccompanied by contemporaneous medical evidence.  Lay evidence may be rejected</w:t>
            </w:r>
            <w:r w:rsidRPr="000010A7">
              <w:t>,</w:t>
            </w:r>
            <w:r w:rsidR="009D71BB" w:rsidRPr="000010A7">
              <w:t xml:space="preserve"> when appropriate</w:t>
            </w:r>
            <w:r w:rsidRPr="000010A7">
              <w:t>,</w:t>
            </w:r>
            <w:r w:rsidR="009D71BB" w:rsidRPr="000010A7">
              <w:t xml:space="preserve"> due to such findings as possible bias or</w:t>
            </w:r>
            <w:r w:rsidRPr="000010A7">
              <w:t xml:space="preserve"> conflicting statements and </w:t>
            </w:r>
            <w:r w:rsidR="009D71BB" w:rsidRPr="000010A7">
              <w:t>BVA may also consider and weigh the absence of contemporary medical records against the lay evidence of record.  However,</w:t>
            </w:r>
            <w:r w:rsidRPr="000010A7">
              <w:t xml:space="preserve"> this case found that</w:t>
            </w:r>
            <w:r w:rsidR="009D71BB" w:rsidRPr="000010A7">
              <w:t xml:space="preserve"> the lack of contemporaneous medical records, in and of itself, does not render lay evidence incredible.  </w:t>
            </w:r>
          </w:p>
          <w:p w14:paraId="0A1BA7ED" w14:textId="77777777" w:rsidR="009D71BB" w:rsidRPr="000010A7" w:rsidRDefault="009D71BB" w:rsidP="0040163C">
            <w:pPr>
              <w:pStyle w:val="BulletText1"/>
              <w:numPr>
                <w:ilvl w:val="0"/>
                <w:numId w:val="0"/>
              </w:numPr>
              <w:ind w:left="173"/>
            </w:pPr>
          </w:p>
          <w:p w14:paraId="6205DD7A" w14:textId="77777777" w:rsidR="009D71BB" w:rsidRPr="000010A7" w:rsidRDefault="009D71BB" w:rsidP="009D71BB">
            <w:r w:rsidRPr="000010A7">
              <w:rPr>
                <w:b/>
                <w:i/>
              </w:rPr>
              <w:t>Important</w:t>
            </w:r>
            <w:r w:rsidRPr="000010A7">
              <w:t xml:space="preserve">:  Do not use the absence of evidence as negative evidence in cases where the claimant has simply failed to prove an element of the claim by the applicable standard (typically relative equipoise).  However, the absence of any positive evidence, such as medical evidence showing diagnosis or treatment, may be considered in determining whether the benefit may be awarded.  </w:t>
            </w:r>
          </w:p>
          <w:p w14:paraId="160E7BDF" w14:textId="77777777" w:rsidR="00BB2F44" w:rsidRPr="000010A7" w:rsidRDefault="00BB2F44" w:rsidP="009D71BB"/>
          <w:p w14:paraId="44B2D8BA" w14:textId="77777777" w:rsidR="00BB2F44" w:rsidRPr="000010A7" w:rsidRDefault="00BB2F44" w:rsidP="009D71BB">
            <w:r w:rsidRPr="000010A7">
              <w:rPr>
                <w:b/>
                <w:i/>
              </w:rPr>
              <w:t>Reference</w:t>
            </w:r>
            <w:r w:rsidRPr="000010A7">
              <w:t>:  For more information on the application of the concept of negative evidence to claims based on sexual assault, see M21-1, Part III, Subpart iv, 4.H.</w:t>
            </w:r>
          </w:p>
        </w:tc>
      </w:tr>
    </w:tbl>
    <w:p w14:paraId="2672389F" w14:textId="77777777" w:rsidR="009D71BB" w:rsidRPr="000010A7" w:rsidRDefault="009D71BB" w:rsidP="009D71BB">
      <w:pPr>
        <w:tabs>
          <w:tab w:val="left" w:pos="9360"/>
        </w:tabs>
        <w:ind w:left="1714"/>
      </w:pPr>
      <w:r w:rsidRPr="000010A7">
        <w:rPr>
          <w:u w:val="single"/>
        </w:rPr>
        <w:tab/>
      </w:r>
    </w:p>
    <w:p w14:paraId="06F2E576" w14:textId="77777777" w:rsidR="009D71BB" w:rsidRPr="000010A7" w:rsidRDefault="009D71BB" w:rsidP="009D71BB"/>
    <w:tbl>
      <w:tblPr>
        <w:tblW w:w="0" w:type="auto"/>
        <w:tblLook w:val="04A0" w:firstRow="1" w:lastRow="0" w:firstColumn="1" w:lastColumn="0" w:noHBand="0" w:noVBand="1"/>
      </w:tblPr>
      <w:tblGrid>
        <w:gridCol w:w="1728"/>
        <w:gridCol w:w="7740"/>
      </w:tblGrid>
      <w:tr w:rsidR="009D71BB" w:rsidRPr="000010A7" w14:paraId="59C31DB6" w14:textId="77777777" w:rsidTr="0040163C">
        <w:tc>
          <w:tcPr>
            <w:tcW w:w="1728" w:type="dxa"/>
            <w:shd w:val="clear" w:color="auto" w:fill="auto"/>
          </w:tcPr>
          <w:p w14:paraId="2F598E19" w14:textId="77777777" w:rsidR="009D71BB" w:rsidRPr="000010A7" w:rsidRDefault="00036145" w:rsidP="009D71BB">
            <w:pPr>
              <w:rPr>
                <w:b/>
                <w:sz w:val="22"/>
              </w:rPr>
            </w:pPr>
            <w:r w:rsidRPr="000010A7">
              <w:rPr>
                <w:b/>
                <w:sz w:val="22"/>
              </w:rPr>
              <w:t>h</w:t>
            </w:r>
            <w:r w:rsidR="009D71BB" w:rsidRPr="000010A7">
              <w:rPr>
                <w:b/>
                <w:sz w:val="22"/>
              </w:rPr>
              <w:t>.  Court Holdings on Negative Evidence and the Duty to Assist</w:t>
            </w:r>
          </w:p>
        </w:tc>
        <w:tc>
          <w:tcPr>
            <w:tcW w:w="7740" w:type="dxa"/>
            <w:shd w:val="clear" w:color="auto" w:fill="auto"/>
          </w:tcPr>
          <w:p w14:paraId="19AD31B2" w14:textId="7C105002" w:rsidR="009D71BB" w:rsidRPr="000010A7" w:rsidRDefault="005A1873" w:rsidP="009D71BB">
            <w:r w:rsidRPr="000010A7">
              <w:t>CAVC</w:t>
            </w:r>
            <w:r w:rsidR="00036145" w:rsidRPr="000010A7">
              <w:t xml:space="preserve"> held</w:t>
            </w:r>
            <w:r w:rsidR="009D71BB" w:rsidRPr="000010A7">
              <w:t xml:space="preserve"> in </w:t>
            </w:r>
            <w:hyperlink r:id="rId51" w:history="1">
              <w:r w:rsidR="009D71BB" w:rsidRPr="000010A7">
                <w:rPr>
                  <w:rStyle w:val="Hyperlink"/>
                  <w:i/>
                </w:rPr>
                <w:t>McLendon v. Nicholson</w:t>
              </w:r>
            </w:hyperlink>
            <w:r w:rsidR="00036145" w:rsidRPr="000010A7">
              <w:t xml:space="preserve">, 20 Vet. App. 79 (2006), </w:t>
            </w:r>
            <w:r w:rsidR="009D71BB" w:rsidRPr="000010A7">
              <w:t xml:space="preserve">that medical evidence that suggests a nexus but is too equivocal or lacking in specificity to support a decision on the merits still triggers the duty to assist under </w:t>
            </w:r>
            <w:hyperlink r:id="rId52" w:history="1">
              <w:r w:rsidR="009D71BB" w:rsidRPr="000010A7">
                <w:rPr>
                  <w:rStyle w:val="Hyperlink"/>
                </w:rPr>
                <w:t>38 U.S.C. 5103A(d)</w:t>
              </w:r>
            </w:hyperlink>
            <w:r w:rsidR="009D71BB" w:rsidRPr="000010A7">
              <w:t xml:space="preserve"> regarding medical examinations/opinions if it indicates that the Veteran’s condition “may be associated” with service.  </w:t>
            </w:r>
          </w:p>
          <w:p w14:paraId="245840A0" w14:textId="77777777" w:rsidR="009D71BB" w:rsidRPr="000010A7" w:rsidRDefault="009D71BB" w:rsidP="009D71BB">
            <w:pPr>
              <w:pStyle w:val="BlockText"/>
            </w:pPr>
          </w:p>
          <w:p w14:paraId="68B3EE20" w14:textId="18DA4435" w:rsidR="009D71BB" w:rsidRPr="000010A7" w:rsidRDefault="005A1873" w:rsidP="009D71BB">
            <w:r w:rsidRPr="000010A7">
              <w:t>CAVC</w:t>
            </w:r>
            <w:r w:rsidR="009D71BB" w:rsidRPr="000010A7">
              <w:t xml:space="preserve">, in </w:t>
            </w:r>
            <w:hyperlink r:id="rId53" w:anchor="bmt" w:history="1">
              <w:proofErr w:type="spellStart"/>
              <w:r w:rsidR="009D71BB" w:rsidRPr="000010A7">
                <w:rPr>
                  <w:rStyle w:val="Hyperlink"/>
                  <w:i/>
                </w:rPr>
                <w:t>Trafter</w:t>
              </w:r>
              <w:proofErr w:type="spellEnd"/>
              <w:r w:rsidR="009D71BB" w:rsidRPr="000010A7">
                <w:rPr>
                  <w:rStyle w:val="Hyperlink"/>
                  <w:i/>
                </w:rPr>
                <w:t xml:space="preserve"> v. Shinseki</w:t>
              </w:r>
            </w:hyperlink>
            <w:r w:rsidR="009D71BB" w:rsidRPr="000010A7">
              <w:t xml:space="preserve">, </w:t>
            </w:r>
            <w:proofErr w:type="gramStart"/>
            <w:r w:rsidR="009D71BB" w:rsidRPr="000010A7">
              <w:t xml:space="preserve">26 </w:t>
            </w:r>
            <w:proofErr w:type="spellStart"/>
            <w:r w:rsidR="009D71BB" w:rsidRPr="000010A7">
              <w:t>Vet.App</w:t>
            </w:r>
            <w:proofErr w:type="spellEnd"/>
            <w:proofErr w:type="gramEnd"/>
            <w:r w:rsidR="009D71BB" w:rsidRPr="000010A7">
              <w:t xml:space="preserve">. 267 (2013), held that VA is precluded from considering the absence of evidence as substantive negative evidence to decide that VA has complied with duty to assist provisions.  </w:t>
            </w:r>
          </w:p>
        </w:tc>
      </w:tr>
    </w:tbl>
    <w:p w14:paraId="2D57B206" w14:textId="77777777" w:rsidR="009D71BB" w:rsidRPr="000010A7" w:rsidRDefault="009D71BB" w:rsidP="009D71BB">
      <w:pPr>
        <w:tabs>
          <w:tab w:val="left" w:pos="9360"/>
        </w:tabs>
        <w:ind w:left="1714"/>
      </w:pPr>
      <w:r w:rsidRPr="000010A7">
        <w:rPr>
          <w:u w:val="single"/>
        </w:rPr>
        <w:tab/>
      </w:r>
    </w:p>
    <w:p w14:paraId="18556108" w14:textId="77777777" w:rsidR="009D71BB" w:rsidRPr="000010A7" w:rsidRDefault="009D71BB" w:rsidP="009D71BB"/>
    <w:p w14:paraId="3B32A0F9" w14:textId="5E6EF637" w:rsidR="00AD5525" w:rsidRPr="000010A7" w:rsidRDefault="00AD5525">
      <w:pPr>
        <w:pStyle w:val="Heading4"/>
      </w:pPr>
      <w:r w:rsidRPr="000010A7">
        <w:br w:type="page"/>
      </w:r>
      <w:r w:rsidR="006D1FB5" w:rsidRPr="000010A7">
        <w:t>3</w:t>
      </w:r>
      <w:r w:rsidRPr="000010A7">
        <w:t xml:space="preserve">.  </w:t>
      </w:r>
      <w:r w:rsidR="005D130F" w:rsidRPr="000010A7">
        <w:t xml:space="preserve">Evaluating </w:t>
      </w:r>
      <w:r w:rsidRPr="000010A7">
        <w:t>Medical Evidence</w:t>
      </w:r>
    </w:p>
    <w:p w14:paraId="205646DA" w14:textId="77777777" w:rsidR="00AD5525" w:rsidRPr="000010A7" w:rsidRDefault="00AD5525">
      <w:pPr>
        <w:pStyle w:val="BlockLine"/>
      </w:pPr>
    </w:p>
    <w:tbl>
      <w:tblPr>
        <w:tblW w:w="0" w:type="auto"/>
        <w:tblLayout w:type="fixed"/>
        <w:tblLook w:val="0000" w:firstRow="0" w:lastRow="0" w:firstColumn="0" w:lastColumn="0" w:noHBand="0" w:noVBand="0"/>
      </w:tblPr>
      <w:tblGrid>
        <w:gridCol w:w="1728"/>
        <w:gridCol w:w="7740"/>
      </w:tblGrid>
      <w:tr w:rsidR="00AD5525" w:rsidRPr="000010A7" w14:paraId="59EA1E3C" w14:textId="77777777" w:rsidTr="001B1806">
        <w:trPr>
          <w:cantSplit/>
        </w:trPr>
        <w:tc>
          <w:tcPr>
            <w:tcW w:w="1728" w:type="dxa"/>
            <w:shd w:val="clear" w:color="auto" w:fill="auto"/>
          </w:tcPr>
          <w:p w14:paraId="28E8DD3B" w14:textId="77777777" w:rsidR="00AD5525" w:rsidRPr="000010A7" w:rsidRDefault="00AD5525">
            <w:pPr>
              <w:pStyle w:val="Heading5"/>
            </w:pPr>
            <w:r w:rsidRPr="000010A7">
              <w:t>Introduction</w:t>
            </w:r>
          </w:p>
        </w:tc>
        <w:tc>
          <w:tcPr>
            <w:tcW w:w="7740" w:type="dxa"/>
            <w:shd w:val="clear" w:color="auto" w:fill="auto"/>
          </w:tcPr>
          <w:p w14:paraId="087BF794" w14:textId="77777777" w:rsidR="00AD5525" w:rsidRPr="000010A7" w:rsidRDefault="00AD5525" w:rsidP="001B1806">
            <w:pPr>
              <w:pStyle w:val="BlockText"/>
            </w:pPr>
            <w:r w:rsidRPr="000010A7">
              <w:t>This topic contains information about evaluating medical evidence, including</w:t>
            </w:r>
          </w:p>
          <w:p w14:paraId="16D5A5C3" w14:textId="77777777" w:rsidR="00AD5525" w:rsidRPr="000010A7" w:rsidRDefault="00AD5525" w:rsidP="001B1806">
            <w:pPr>
              <w:pStyle w:val="BlockText"/>
            </w:pPr>
          </w:p>
          <w:p w14:paraId="1D44D7C6" w14:textId="77777777" w:rsidR="00DE7693" w:rsidRPr="000010A7" w:rsidRDefault="00DE7693" w:rsidP="00C17F48">
            <w:pPr>
              <w:numPr>
                <w:ilvl w:val="0"/>
                <w:numId w:val="32"/>
              </w:numPr>
              <w:ind w:left="158" w:hanging="187"/>
            </w:pPr>
            <w:r w:rsidRPr="000010A7">
              <w:t>treating physician’s treatment background and probative value</w:t>
            </w:r>
          </w:p>
          <w:p w14:paraId="751687AA" w14:textId="77777777" w:rsidR="00EC1D30" w:rsidRPr="000010A7" w:rsidRDefault="00EC1D30">
            <w:pPr>
              <w:pStyle w:val="BulletText1"/>
            </w:pPr>
            <w:r w:rsidRPr="000010A7">
              <w:t>definitions of types of medical assessments</w:t>
            </w:r>
          </w:p>
          <w:p w14:paraId="7C5F828F" w14:textId="77777777" w:rsidR="00DE7693" w:rsidRPr="000010A7" w:rsidRDefault="00DE7693">
            <w:pPr>
              <w:pStyle w:val="BulletText1"/>
            </w:pPr>
            <w:r w:rsidRPr="000010A7">
              <w:t>medical assessments – history and policy applications</w:t>
            </w:r>
          </w:p>
          <w:p w14:paraId="7720A740" w14:textId="77777777" w:rsidR="00EC1D30" w:rsidRPr="000010A7" w:rsidRDefault="00EC1D30">
            <w:pPr>
              <w:pStyle w:val="BulletText1"/>
            </w:pPr>
            <w:r w:rsidRPr="000010A7">
              <w:t>disability benefits questionnaires (DBQs) and acceptable clinical evidence (ACE)</w:t>
            </w:r>
          </w:p>
          <w:p w14:paraId="680DE933" w14:textId="77777777" w:rsidR="00AD5525" w:rsidRPr="000010A7" w:rsidRDefault="004F51B4">
            <w:pPr>
              <w:pStyle w:val="BulletText1"/>
            </w:pPr>
            <w:r w:rsidRPr="000010A7">
              <w:t xml:space="preserve">basis for </w:t>
            </w:r>
            <w:r w:rsidR="00AD5525" w:rsidRPr="000010A7">
              <w:t>rejecting medical evidence</w:t>
            </w:r>
          </w:p>
          <w:p w14:paraId="78B849CD" w14:textId="77777777" w:rsidR="00AD5525" w:rsidRPr="000010A7" w:rsidRDefault="00AD5525">
            <w:pPr>
              <w:pStyle w:val="BulletText1"/>
            </w:pPr>
            <w:r w:rsidRPr="000010A7">
              <w:t>supporting medical conclusions</w:t>
            </w:r>
            <w:r w:rsidR="004F51B4" w:rsidRPr="000010A7">
              <w:t xml:space="preserve"> with evidence in the claims folder</w:t>
            </w:r>
          </w:p>
          <w:p w14:paraId="50F43C7A" w14:textId="77777777" w:rsidR="00AD5525" w:rsidRPr="000010A7" w:rsidRDefault="00AD5525">
            <w:pPr>
              <w:pStyle w:val="BulletText1"/>
            </w:pPr>
            <w:r w:rsidRPr="000010A7">
              <w:t>considering the</w:t>
            </w:r>
            <w:r w:rsidR="00BE7922" w:rsidRPr="000010A7">
              <w:t xml:space="preserve"> </w:t>
            </w:r>
            <w:r w:rsidR="00DE7693" w:rsidRPr="000010A7">
              <w:t xml:space="preserve">former </w:t>
            </w:r>
            <w:r w:rsidR="00CD750C" w:rsidRPr="000010A7">
              <w:t>prisoner of w</w:t>
            </w:r>
            <w:r w:rsidR="00BE7922" w:rsidRPr="000010A7">
              <w:t>ar</w:t>
            </w:r>
            <w:r w:rsidRPr="000010A7">
              <w:t xml:space="preserve"> </w:t>
            </w:r>
            <w:r w:rsidR="00BE7922" w:rsidRPr="000010A7">
              <w:t>(</w:t>
            </w:r>
            <w:r w:rsidR="00DE7693" w:rsidRPr="000010A7">
              <w:t>F</w:t>
            </w:r>
            <w:r w:rsidRPr="000010A7">
              <w:t>POW</w:t>
            </w:r>
            <w:r w:rsidR="00BE7922" w:rsidRPr="000010A7">
              <w:t>)</w:t>
            </w:r>
            <w:r w:rsidRPr="000010A7">
              <w:t xml:space="preserve"> protocol examination report</w:t>
            </w:r>
            <w:r w:rsidR="00E36BE6" w:rsidRPr="000010A7">
              <w:t>s</w:t>
            </w:r>
          </w:p>
          <w:p w14:paraId="44C0E9AA" w14:textId="77777777" w:rsidR="00AD5525" w:rsidRPr="000010A7" w:rsidRDefault="00AD5525">
            <w:pPr>
              <w:pStyle w:val="BulletText1"/>
            </w:pPr>
            <w:r w:rsidRPr="000010A7">
              <w:t>evaluating</w:t>
            </w:r>
            <w:r w:rsidR="005D130F" w:rsidRPr="000010A7">
              <w:t xml:space="preserve"> service treatment records</w:t>
            </w:r>
            <w:r w:rsidRPr="000010A7">
              <w:t xml:space="preserve"> </w:t>
            </w:r>
            <w:r w:rsidR="005D130F" w:rsidRPr="000010A7">
              <w:t>(</w:t>
            </w:r>
            <w:r w:rsidRPr="000010A7">
              <w:t>STRs</w:t>
            </w:r>
            <w:r w:rsidR="005D130F" w:rsidRPr="000010A7">
              <w:t>)</w:t>
            </w:r>
          </w:p>
          <w:p w14:paraId="37D0F454" w14:textId="77777777" w:rsidR="00AD5525" w:rsidRPr="000010A7" w:rsidRDefault="00AD5525">
            <w:pPr>
              <w:pStyle w:val="BulletText1"/>
            </w:pPr>
            <w:r w:rsidRPr="000010A7">
              <w:t>statements from physicians as acceptable evidence</w:t>
            </w:r>
            <w:r w:rsidR="002A5497" w:rsidRPr="000010A7">
              <w:t xml:space="preserve"> for rating purposes without further examination</w:t>
            </w:r>
            <w:r w:rsidRPr="000010A7">
              <w:t>, and</w:t>
            </w:r>
          </w:p>
          <w:p w14:paraId="6639FEA0" w14:textId="77777777" w:rsidR="00AD5525" w:rsidRPr="000010A7" w:rsidRDefault="00AD5525">
            <w:pPr>
              <w:pStyle w:val="BulletText1"/>
            </w:pPr>
            <w:proofErr w:type="gramStart"/>
            <w:r w:rsidRPr="000010A7">
              <w:t>considering</w:t>
            </w:r>
            <w:proofErr w:type="gramEnd"/>
            <w:r w:rsidRPr="000010A7">
              <w:t xml:space="preserve"> information in the claims folder</w:t>
            </w:r>
            <w:r w:rsidRPr="000010A7">
              <w:rPr>
                <w:b/>
              </w:rPr>
              <w:t>.</w:t>
            </w:r>
          </w:p>
        </w:tc>
      </w:tr>
    </w:tbl>
    <w:p w14:paraId="0596C309" w14:textId="77777777" w:rsidR="00AD5525" w:rsidRPr="000010A7" w:rsidRDefault="00AD5525">
      <w:pPr>
        <w:pStyle w:val="BlockLine"/>
      </w:pPr>
    </w:p>
    <w:tbl>
      <w:tblPr>
        <w:tblW w:w="0" w:type="auto"/>
        <w:tblLayout w:type="fixed"/>
        <w:tblLook w:val="0000" w:firstRow="0" w:lastRow="0" w:firstColumn="0" w:lastColumn="0" w:noHBand="0" w:noVBand="0"/>
      </w:tblPr>
      <w:tblGrid>
        <w:gridCol w:w="1728"/>
        <w:gridCol w:w="7740"/>
      </w:tblGrid>
      <w:tr w:rsidR="00AD5525" w:rsidRPr="000010A7" w14:paraId="1515D663" w14:textId="77777777" w:rsidTr="001B1806">
        <w:trPr>
          <w:cantSplit/>
        </w:trPr>
        <w:tc>
          <w:tcPr>
            <w:tcW w:w="1728" w:type="dxa"/>
            <w:shd w:val="clear" w:color="auto" w:fill="auto"/>
          </w:tcPr>
          <w:p w14:paraId="03C4DE94" w14:textId="77777777" w:rsidR="00AD5525" w:rsidRPr="000010A7" w:rsidRDefault="00AD5525">
            <w:pPr>
              <w:pStyle w:val="Heading5"/>
            </w:pPr>
            <w:r w:rsidRPr="000010A7">
              <w:t>Change Date</w:t>
            </w:r>
          </w:p>
        </w:tc>
        <w:tc>
          <w:tcPr>
            <w:tcW w:w="7740" w:type="dxa"/>
            <w:shd w:val="clear" w:color="auto" w:fill="auto"/>
          </w:tcPr>
          <w:p w14:paraId="329B90FC" w14:textId="27C83671" w:rsidR="00AD5525" w:rsidRPr="000010A7" w:rsidRDefault="00A53011" w:rsidP="001B1806">
            <w:pPr>
              <w:pStyle w:val="BlockText"/>
            </w:pPr>
            <w:r w:rsidRPr="000010A7">
              <w:t>July 15, 2015</w:t>
            </w:r>
          </w:p>
        </w:tc>
      </w:tr>
    </w:tbl>
    <w:p w14:paraId="01CE4858" w14:textId="77777777" w:rsidR="00AD5525" w:rsidRPr="000010A7" w:rsidRDefault="00AD5525">
      <w:pPr>
        <w:pStyle w:val="BlockLine"/>
      </w:pPr>
    </w:p>
    <w:tbl>
      <w:tblPr>
        <w:tblW w:w="0" w:type="auto"/>
        <w:tblLook w:val="04A0" w:firstRow="1" w:lastRow="0" w:firstColumn="1" w:lastColumn="0" w:noHBand="0" w:noVBand="1"/>
      </w:tblPr>
      <w:tblGrid>
        <w:gridCol w:w="1728"/>
        <w:gridCol w:w="7740"/>
      </w:tblGrid>
      <w:tr w:rsidR="00DE7693" w:rsidRPr="000010A7" w14:paraId="68D533ED" w14:textId="77777777" w:rsidTr="003F2536">
        <w:tc>
          <w:tcPr>
            <w:tcW w:w="1728" w:type="dxa"/>
            <w:shd w:val="clear" w:color="auto" w:fill="auto"/>
          </w:tcPr>
          <w:p w14:paraId="61BA0A2B" w14:textId="77777777" w:rsidR="00DE7693" w:rsidRPr="000010A7" w:rsidRDefault="00DE7693" w:rsidP="00DE7693">
            <w:pPr>
              <w:rPr>
                <w:b/>
                <w:sz w:val="22"/>
              </w:rPr>
            </w:pPr>
            <w:r w:rsidRPr="000010A7">
              <w:rPr>
                <w:b/>
                <w:sz w:val="22"/>
              </w:rPr>
              <w:t>a.  Treating Physician’s Treatment Background and Probative Value</w:t>
            </w:r>
          </w:p>
        </w:tc>
        <w:tc>
          <w:tcPr>
            <w:tcW w:w="7740" w:type="dxa"/>
            <w:shd w:val="clear" w:color="auto" w:fill="auto"/>
          </w:tcPr>
          <w:p w14:paraId="3925084A" w14:textId="77777777" w:rsidR="00DE7693" w:rsidRPr="000010A7" w:rsidRDefault="00DE7693" w:rsidP="00DE7693">
            <w:pPr>
              <w:pStyle w:val="BlockText"/>
            </w:pPr>
            <w:r w:rsidRPr="000010A7">
              <w:t>VA does not apply the “treating physician rule</w:t>
            </w:r>
            <w:r w:rsidR="005D130F" w:rsidRPr="000010A7">
              <w:t>,</w:t>
            </w:r>
            <w:r w:rsidRPr="000010A7">
              <w:t xml:space="preserve">” whereby the evidence of a treating physician is generally entitled to more weight than evaluations made by consulting physicians or expert witnesses.  However, a treating physician’s familiarity with the history of a disability may increase the probative value of any medical evidence/opinion.  </w:t>
            </w:r>
          </w:p>
          <w:p w14:paraId="5CBBC23E" w14:textId="77777777" w:rsidR="00DE7693" w:rsidRPr="000010A7" w:rsidRDefault="00DE7693" w:rsidP="00DE7693">
            <w:pPr>
              <w:pStyle w:val="BlockText"/>
            </w:pPr>
          </w:p>
          <w:p w14:paraId="2A17A9AE" w14:textId="77777777" w:rsidR="00DE7693" w:rsidRPr="000010A7" w:rsidRDefault="00DE7693" w:rsidP="00DE7693">
            <w:r w:rsidRPr="000010A7">
              <w:rPr>
                <w:b/>
                <w:i/>
              </w:rPr>
              <w:t>Reference</w:t>
            </w:r>
            <w:r w:rsidRPr="000010A7">
              <w:t xml:space="preserve">:  For more information on determining a physician’s expertise and experience, see </w:t>
            </w:r>
            <w:hyperlink r:id="rId54" w:anchor="bmb" w:history="1">
              <w:r w:rsidRPr="000010A7">
                <w:rPr>
                  <w:rStyle w:val="Hyperlink"/>
                  <w:i/>
                </w:rPr>
                <w:t>Black v. Brown</w:t>
              </w:r>
            </w:hyperlink>
            <w:r w:rsidRPr="000010A7">
              <w:rPr>
                <w:i/>
              </w:rPr>
              <w:t xml:space="preserve">, </w:t>
            </w:r>
            <w:r w:rsidRPr="000010A7">
              <w:t xml:space="preserve">10 </w:t>
            </w:r>
            <w:proofErr w:type="spellStart"/>
            <w:r w:rsidRPr="000010A7">
              <w:t>Vet.App</w:t>
            </w:r>
            <w:proofErr w:type="spellEnd"/>
            <w:r w:rsidRPr="000010A7">
              <w:t>. 279 (1997).</w:t>
            </w:r>
          </w:p>
        </w:tc>
      </w:tr>
    </w:tbl>
    <w:p w14:paraId="56360262" w14:textId="77777777" w:rsidR="00DE7693" w:rsidRPr="000010A7" w:rsidRDefault="00DE7693" w:rsidP="00DE7693">
      <w:pPr>
        <w:tabs>
          <w:tab w:val="left" w:pos="9360"/>
        </w:tabs>
        <w:ind w:left="1714"/>
      </w:pPr>
      <w:r w:rsidRPr="000010A7">
        <w:rPr>
          <w:u w:val="single"/>
        </w:rPr>
        <w:tab/>
      </w:r>
    </w:p>
    <w:p w14:paraId="71064A08" w14:textId="77777777" w:rsidR="00DE7693" w:rsidRPr="000010A7" w:rsidRDefault="00DE7693" w:rsidP="00DE7693">
      <w:pPr>
        <w:ind w:left="1714"/>
      </w:pPr>
    </w:p>
    <w:tbl>
      <w:tblPr>
        <w:tblW w:w="0" w:type="auto"/>
        <w:tblLook w:val="04A0" w:firstRow="1" w:lastRow="0" w:firstColumn="1" w:lastColumn="0" w:noHBand="0" w:noVBand="1"/>
      </w:tblPr>
      <w:tblGrid>
        <w:gridCol w:w="1728"/>
        <w:gridCol w:w="7740"/>
      </w:tblGrid>
      <w:tr w:rsidR="00EC1D30" w:rsidRPr="000010A7" w14:paraId="0263DCAB" w14:textId="77777777" w:rsidTr="0040163C">
        <w:tc>
          <w:tcPr>
            <w:tcW w:w="1728" w:type="dxa"/>
            <w:shd w:val="clear" w:color="auto" w:fill="auto"/>
          </w:tcPr>
          <w:p w14:paraId="19530C58" w14:textId="77777777" w:rsidR="00EC1D30" w:rsidRPr="000010A7" w:rsidRDefault="00DE7693" w:rsidP="00EC1D30">
            <w:pPr>
              <w:rPr>
                <w:b/>
                <w:sz w:val="22"/>
              </w:rPr>
            </w:pPr>
            <w:r w:rsidRPr="000010A7">
              <w:rPr>
                <w:b/>
                <w:sz w:val="22"/>
              </w:rPr>
              <w:t>b</w:t>
            </w:r>
            <w:r w:rsidR="00EC1D30" w:rsidRPr="000010A7">
              <w:rPr>
                <w:b/>
                <w:sz w:val="22"/>
              </w:rPr>
              <w:t>.  Definitions:  Types of Medical Assessments</w:t>
            </w:r>
          </w:p>
        </w:tc>
        <w:tc>
          <w:tcPr>
            <w:tcW w:w="7740" w:type="dxa"/>
            <w:shd w:val="clear" w:color="auto" w:fill="auto"/>
          </w:tcPr>
          <w:p w14:paraId="220D53FA" w14:textId="77777777" w:rsidR="00EC1D30" w:rsidRPr="000010A7" w:rsidRDefault="005D130F" w:rsidP="00EC1D30">
            <w:pPr>
              <w:pStyle w:val="BlockText"/>
            </w:pPr>
            <w:r w:rsidRPr="000010A7">
              <w:t>The main types</w:t>
            </w:r>
            <w:r w:rsidR="00EC1D30" w:rsidRPr="000010A7">
              <w:t xml:space="preserve"> of medical assessments for VA purposes</w:t>
            </w:r>
            <w:r w:rsidRPr="000010A7">
              <w:t xml:space="preserve"> are diagnoses, opinions, examination, and history</w:t>
            </w:r>
            <w:r w:rsidR="00EC1D30" w:rsidRPr="000010A7">
              <w:t xml:space="preserve">. </w:t>
            </w:r>
          </w:p>
          <w:p w14:paraId="745B66A6" w14:textId="77777777" w:rsidR="00EC1D30" w:rsidRPr="000010A7" w:rsidRDefault="00EC1D30" w:rsidP="00EC1D30">
            <w:pPr>
              <w:pStyle w:val="BlockText"/>
            </w:pPr>
          </w:p>
          <w:p w14:paraId="717DDD6C" w14:textId="77777777" w:rsidR="00EC1D30" w:rsidRPr="000010A7" w:rsidRDefault="00EC1D30" w:rsidP="00EC1D30">
            <w:pPr>
              <w:pStyle w:val="BlockText"/>
            </w:pPr>
            <w:r w:rsidRPr="000010A7">
              <w:rPr>
                <w:b/>
                <w:i/>
              </w:rPr>
              <w:t xml:space="preserve">Diagnoses </w:t>
            </w:r>
            <w:r w:rsidRPr="000010A7">
              <w:t>are medical assessments made typically to identify injury or disease.  They are typically the end result of an examination and involve the application of the physician or examiner’s knowledge, experience</w:t>
            </w:r>
            <w:r w:rsidR="005D130F" w:rsidRPr="000010A7">
              <w:t>,</w:t>
            </w:r>
            <w:r w:rsidRPr="000010A7">
              <w:t xml:space="preserve"> and judgment to a set of facts.  </w:t>
            </w:r>
          </w:p>
          <w:p w14:paraId="04A46077" w14:textId="77777777" w:rsidR="00EC1D30" w:rsidRPr="000010A7" w:rsidRDefault="00EC1D30" w:rsidP="00EC1D30">
            <w:pPr>
              <w:pStyle w:val="BlockText"/>
            </w:pPr>
          </w:p>
          <w:p w14:paraId="31155BD2" w14:textId="77777777" w:rsidR="00EC1D30" w:rsidRPr="000010A7" w:rsidRDefault="00EC1D30" w:rsidP="00EC1D30">
            <w:pPr>
              <w:pStyle w:val="BlockText"/>
            </w:pPr>
            <w:r w:rsidRPr="000010A7">
              <w:rPr>
                <w:b/>
                <w:i/>
              </w:rPr>
              <w:t>Opinions</w:t>
            </w:r>
            <w:r w:rsidRPr="000010A7">
              <w:t xml:space="preserve"> are medical assessments on questions such as etiology or onset.  They may or</w:t>
            </w:r>
            <w:r w:rsidR="00C528C3" w:rsidRPr="000010A7">
              <w:t xml:space="preserve"> may</w:t>
            </w:r>
            <w:r w:rsidRPr="000010A7">
              <w:t xml:space="preserve"> not be accompanied by a contemporaneous examination.  However, like an examination, opinions involve the application of the examiner’s knowledge, experience</w:t>
            </w:r>
            <w:r w:rsidR="005D130F" w:rsidRPr="000010A7">
              <w:t>, and judg</w:t>
            </w:r>
            <w:r w:rsidRPr="000010A7">
              <w:t xml:space="preserve">ment to a set of facts.  </w:t>
            </w:r>
          </w:p>
          <w:p w14:paraId="1B704FAC" w14:textId="77777777" w:rsidR="00EC1D30" w:rsidRPr="000010A7" w:rsidRDefault="00EC1D30" w:rsidP="00EC1D30">
            <w:pPr>
              <w:pStyle w:val="BlockText"/>
            </w:pPr>
          </w:p>
          <w:p w14:paraId="3EAD3ECB" w14:textId="77777777" w:rsidR="00EC1D30" w:rsidRPr="000010A7" w:rsidRDefault="00EC1D30" w:rsidP="00EC1D30">
            <w:pPr>
              <w:pStyle w:val="BlockText"/>
            </w:pPr>
            <w:r w:rsidRPr="000010A7">
              <w:t xml:space="preserve">An </w:t>
            </w:r>
            <w:r w:rsidRPr="000010A7">
              <w:rPr>
                <w:b/>
                <w:i/>
              </w:rPr>
              <w:t>examination</w:t>
            </w:r>
            <w:r w:rsidRPr="000010A7">
              <w:t xml:space="preserve"> for VA purposes involves the collection of relevant medical facts (history, clinical observations</w:t>
            </w:r>
            <w:r w:rsidR="005D130F" w:rsidRPr="000010A7">
              <w:t>,</w:t>
            </w:r>
            <w:r w:rsidRPr="000010A7">
              <w:t xml:space="preserve"> or measurements and potentially lab testing) by a medical professional.  </w:t>
            </w:r>
          </w:p>
          <w:p w14:paraId="174ECC43" w14:textId="77777777" w:rsidR="00EC1D30" w:rsidRPr="000010A7" w:rsidRDefault="00EC1D30" w:rsidP="00EC1D30">
            <w:pPr>
              <w:pStyle w:val="BlockText"/>
            </w:pPr>
          </w:p>
          <w:p w14:paraId="44FEEA00" w14:textId="77777777" w:rsidR="00EC1D30" w:rsidRPr="000010A7" w:rsidRDefault="00EC1D30" w:rsidP="00EC1D30">
            <w:r w:rsidRPr="000010A7">
              <w:rPr>
                <w:b/>
                <w:i/>
              </w:rPr>
              <w:t>History</w:t>
            </w:r>
            <w:r w:rsidRPr="000010A7">
              <w:t xml:space="preserve"> is a verbal recounting or written record of relevant life events, habits, routine, symptoms, and/or treatment.  It most often comes from the patient’s oral report and/or review of medical records.  Other materials could also be relevant to a physician’s or </w:t>
            </w:r>
            <w:proofErr w:type="gramStart"/>
            <w:r w:rsidRPr="000010A7">
              <w:t>examiner’s understanding</w:t>
            </w:r>
            <w:proofErr w:type="gramEnd"/>
            <w:r w:rsidRPr="000010A7">
              <w:t xml:space="preserve"> of relevant medical or psychological history.</w:t>
            </w:r>
          </w:p>
        </w:tc>
      </w:tr>
    </w:tbl>
    <w:p w14:paraId="4C15375B" w14:textId="77777777" w:rsidR="00EC1D30" w:rsidRPr="000010A7" w:rsidRDefault="00EC1D30" w:rsidP="00EC1D30">
      <w:pPr>
        <w:tabs>
          <w:tab w:val="left" w:pos="9360"/>
        </w:tabs>
        <w:ind w:left="1714"/>
      </w:pPr>
      <w:r w:rsidRPr="000010A7">
        <w:rPr>
          <w:u w:val="single"/>
        </w:rPr>
        <w:tab/>
      </w:r>
    </w:p>
    <w:p w14:paraId="64F9707B" w14:textId="77777777" w:rsidR="00EC1D30" w:rsidRPr="000010A7" w:rsidRDefault="00EC1D30" w:rsidP="00EC1D30"/>
    <w:tbl>
      <w:tblPr>
        <w:tblW w:w="0" w:type="auto"/>
        <w:tblLook w:val="04A0" w:firstRow="1" w:lastRow="0" w:firstColumn="1" w:lastColumn="0" w:noHBand="0" w:noVBand="1"/>
      </w:tblPr>
      <w:tblGrid>
        <w:gridCol w:w="1728"/>
        <w:gridCol w:w="7740"/>
      </w:tblGrid>
      <w:tr w:rsidR="00DE7693" w:rsidRPr="000010A7" w14:paraId="0D07CDF7" w14:textId="77777777" w:rsidTr="003F2536">
        <w:tc>
          <w:tcPr>
            <w:tcW w:w="1728" w:type="dxa"/>
            <w:shd w:val="clear" w:color="auto" w:fill="auto"/>
          </w:tcPr>
          <w:p w14:paraId="505D0808" w14:textId="77777777" w:rsidR="00DE7693" w:rsidRPr="000010A7" w:rsidRDefault="00DE7693" w:rsidP="00EC1D30">
            <w:pPr>
              <w:rPr>
                <w:b/>
                <w:sz w:val="22"/>
              </w:rPr>
            </w:pPr>
            <w:r w:rsidRPr="000010A7">
              <w:rPr>
                <w:b/>
                <w:sz w:val="22"/>
              </w:rPr>
              <w:t>c.  Medical Assessments – History and Policy Applications</w:t>
            </w:r>
          </w:p>
        </w:tc>
        <w:tc>
          <w:tcPr>
            <w:tcW w:w="7740" w:type="dxa"/>
            <w:shd w:val="clear" w:color="auto" w:fill="auto"/>
          </w:tcPr>
          <w:p w14:paraId="1C0A0395" w14:textId="77777777" w:rsidR="00DE7693" w:rsidRPr="000010A7" w:rsidRDefault="00DE7693" w:rsidP="00DE7693">
            <w:pPr>
              <w:pStyle w:val="BlockText"/>
            </w:pPr>
            <w:r w:rsidRPr="000010A7">
              <w:t>A key evidentiary concern in many VA claims is evaluating the probative value and weight of a diagnosis or opinion that relies upon a claimant’s history.</w:t>
            </w:r>
          </w:p>
          <w:p w14:paraId="47383B74" w14:textId="77777777" w:rsidR="00DE7693" w:rsidRPr="000010A7" w:rsidRDefault="00DE7693" w:rsidP="00DE7693">
            <w:pPr>
              <w:pStyle w:val="BlockText"/>
            </w:pPr>
          </w:p>
          <w:p w14:paraId="534DA030" w14:textId="77777777" w:rsidR="00DE7693" w:rsidRPr="000010A7" w:rsidRDefault="00C528C3" w:rsidP="00DE7693">
            <w:pPr>
              <w:pStyle w:val="BlockText"/>
            </w:pPr>
            <w:r w:rsidRPr="000010A7">
              <w:t>The claimant’s self-interest in</w:t>
            </w:r>
            <w:r w:rsidR="00DE7693" w:rsidRPr="000010A7">
              <w:t xml:space="preserve"> the outcome of a medical assessment</w:t>
            </w:r>
            <w:r w:rsidRPr="000010A7">
              <w:t xml:space="preserve"> and his or her ability to recollect facts over time both </w:t>
            </w:r>
            <w:r w:rsidR="00DE7693" w:rsidRPr="000010A7">
              <w:t>raise concerns about whether history is accurate and</w:t>
            </w:r>
            <w:r w:rsidR="005D130F" w:rsidRPr="000010A7">
              <w:t>,</w:t>
            </w:r>
            <w:r w:rsidR="00DE7693" w:rsidRPr="000010A7">
              <w:t xml:space="preserve"> therefore</w:t>
            </w:r>
            <w:r w:rsidR="005D130F" w:rsidRPr="000010A7">
              <w:t>,</w:t>
            </w:r>
            <w:r w:rsidRPr="000010A7">
              <w:t xml:space="preserve"> whether </w:t>
            </w:r>
            <w:r w:rsidR="00DE7693" w:rsidRPr="000010A7">
              <w:t xml:space="preserve">medical assessments are valid.  However, as a general principle, unless the historical facts upon which a medical conclusion is based are dubious or untenable, the medical conclusion should be accepted as credible.  The probative value of this medical evidence may be considered and weighed relative to other evidence of record.  </w:t>
            </w:r>
          </w:p>
          <w:p w14:paraId="6407437A" w14:textId="77777777" w:rsidR="00DE7693" w:rsidRPr="000010A7" w:rsidRDefault="00DE7693" w:rsidP="00DE7693">
            <w:pPr>
              <w:pStyle w:val="BlockText"/>
            </w:pPr>
          </w:p>
          <w:p w14:paraId="05B48AB2" w14:textId="77777777" w:rsidR="00DE7693" w:rsidRPr="000010A7" w:rsidRDefault="00DE7693" w:rsidP="00DE7693">
            <w:pPr>
              <w:pStyle w:val="BlockText"/>
            </w:pPr>
            <w:r w:rsidRPr="000010A7">
              <w:t>In most cases</w:t>
            </w:r>
            <w:r w:rsidR="005D130F" w:rsidRPr="000010A7">
              <w:t>,</w:t>
            </w:r>
            <w:r w:rsidRPr="000010A7">
              <w:t xml:space="preserve"> medical diagnoses and opinions are based to some degree on history</w:t>
            </w:r>
            <w:r w:rsidR="004056A5" w:rsidRPr="000010A7">
              <w:t xml:space="preserve"> provided by </w:t>
            </w:r>
            <w:r w:rsidRPr="000010A7">
              <w:t xml:space="preserve">the patient or examinee. </w:t>
            </w:r>
            <w:r w:rsidR="005D130F" w:rsidRPr="000010A7">
              <w:t xml:space="preserve"> </w:t>
            </w:r>
            <w:r w:rsidR="004056A5" w:rsidRPr="000010A7">
              <w:t xml:space="preserve">Medical assessments based on the claimant’s history generally shall be accepted as credible unless </w:t>
            </w:r>
            <w:r w:rsidRPr="000010A7">
              <w:t>the</w:t>
            </w:r>
            <w:r w:rsidR="004056A5" w:rsidRPr="000010A7">
              <w:t xml:space="preserve"> evidence proves the</w:t>
            </w:r>
            <w:r w:rsidRPr="000010A7">
              <w:t xml:space="preserve"> medical history</w:t>
            </w:r>
            <w:r w:rsidR="004056A5" w:rsidRPr="000010A7">
              <w:t xml:space="preserve"> is </w:t>
            </w:r>
            <w:r w:rsidRPr="000010A7">
              <w:t>inaccurate</w:t>
            </w:r>
            <w:r w:rsidR="005D130F" w:rsidRPr="000010A7">
              <w:t xml:space="preserve">. </w:t>
            </w:r>
            <w:r w:rsidRPr="000010A7">
              <w:t xml:space="preserve"> However, an examiner’s conclusion that merely echo</w:t>
            </w:r>
            <w:r w:rsidR="005D130F" w:rsidRPr="000010A7">
              <w:t>es</w:t>
            </w:r>
            <w:r w:rsidRPr="000010A7">
              <w:t xml:space="preserve"> the </w:t>
            </w:r>
            <w:r w:rsidR="005D130F" w:rsidRPr="000010A7">
              <w:t xml:space="preserve">reported </w:t>
            </w:r>
            <w:r w:rsidRPr="000010A7">
              <w:t xml:space="preserve">history of a claimant, without offering any medical rationale in support, cannot be deemed an adequate medical opinion and should not be assigned any probative value.  </w:t>
            </w:r>
          </w:p>
          <w:p w14:paraId="7A398D4D" w14:textId="77777777" w:rsidR="00DE7693" w:rsidRPr="000010A7" w:rsidRDefault="00DE7693" w:rsidP="00DE7693">
            <w:pPr>
              <w:pStyle w:val="BlockText"/>
            </w:pPr>
          </w:p>
          <w:p w14:paraId="0CEEBD7C" w14:textId="77777777" w:rsidR="00DE7693" w:rsidRPr="000010A7" w:rsidRDefault="00DE7693" w:rsidP="00DE7693">
            <w:pPr>
              <w:pStyle w:val="BlockText"/>
            </w:pPr>
            <w:r w:rsidRPr="000010A7">
              <w:rPr>
                <w:b/>
                <w:i/>
              </w:rPr>
              <w:t>Reference</w:t>
            </w:r>
            <w:r w:rsidRPr="000010A7">
              <w:t>:  For more information on claimant’s history in medical opinions, see</w:t>
            </w:r>
          </w:p>
          <w:p w14:paraId="3DE7F0EC" w14:textId="77777777" w:rsidR="00DE7693" w:rsidRPr="000010A7" w:rsidRDefault="000010A7" w:rsidP="00C17F48">
            <w:pPr>
              <w:pStyle w:val="ListParagraph"/>
              <w:numPr>
                <w:ilvl w:val="0"/>
                <w:numId w:val="33"/>
              </w:numPr>
              <w:ind w:left="158" w:hanging="187"/>
            </w:pPr>
            <w:hyperlink r:id="rId55" w:anchor="bmr" w:history="1">
              <w:proofErr w:type="spellStart"/>
              <w:r w:rsidR="00DE7693" w:rsidRPr="000010A7">
                <w:rPr>
                  <w:rStyle w:val="Hyperlink"/>
                  <w:i/>
                </w:rPr>
                <w:t>Reonal</w:t>
              </w:r>
              <w:proofErr w:type="spellEnd"/>
              <w:r w:rsidR="00DE7693" w:rsidRPr="000010A7">
                <w:rPr>
                  <w:rStyle w:val="Hyperlink"/>
                  <w:i/>
                </w:rPr>
                <w:t xml:space="preserve"> v. Brown</w:t>
              </w:r>
            </w:hyperlink>
            <w:r w:rsidR="00DE7693" w:rsidRPr="000010A7">
              <w:t xml:space="preserve">, </w:t>
            </w:r>
            <w:proofErr w:type="gramStart"/>
            <w:r w:rsidR="00DE7693" w:rsidRPr="000010A7">
              <w:t xml:space="preserve">5 </w:t>
            </w:r>
            <w:proofErr w:type="spellStart"/>
            <w:r w:rsidR="00DE7693" w:rsidRPr="000010A7">
              <w:t>Vet.App</w:t>
            </w:r>
            <w:proofErr w:type="spellEnd"/>
            <w:proofErr w:type="gramEnd"/>
            <w:r w:rsidR="00DE7693" w:rsidRPr="000010A7">
              <w:t>. 458 (1993), and</w:t>
            </w:r>
          </w:p>
          <w:p w14:paraId="06127464" w14:textId="77777777" w:rsidR="00DE7693" w:rsidRPr="000010A7" w:rsidRDefault="000010A7" w:rsidP="00C17F48">
            <w:pPr>
              <w:pStyle w:val="ListParagraph"/>
              <w:numPr>
                <w:ilvl w:val="0"/>
                <w:numId w:val="33"/>
              </w:numPr>
              <w:ind w:left="158" w:hanging="187"/>
            </w:pPr>
            <w:hyperlink r:id="rId56" w:anchor="bmc" w:history="1">
              <w:r w:rsidR="00DE7693" w:rsidRPr="000010A7">
                <w:rPr>
                  <w:rStyle w:val="Hyperlink"/>
                  <w:i/>
                </w:rPr>
                <w:t>Coburn v. Nicholson</w:t>
              </w:r>
            </w:hyperlink>
            <w:r w:rsidR="00DE7693" w:rsidRPr="000010A7">
              <w:t xml:space="preserve">, 19 </w:t>
            </w:r>
            <w:proofErr w:type="spellStart"/>
            <w:r w:rsidR="00DE7693" w:rsidRPr="000010A7">
              <w:t>Vet.App</w:t>
            </w:r>
            <w:proofErr w:type="spellEnd"/>
            <w:r w:rsidR="00DE7693" w:rsidRPr="000010A7">
              <w:t xml:space="preserve">. 427 (2006).  </w:t>
            </w:r>
          </w:p>
        </w:tc>
      </w:tr>
    </w:tbl>
    <w:p w14:paraId="7F752197" w14:textId="77777777" w:rsidR="00DE7693" w:rsidRPr="000010A7" w:rsidRDefault="00DE7693" w:rsidP="00DE7693">
      <w:pPr>
        <w:tabs>
          <w:tab w:val="left" w:pos="9360"/>
        </w:tabs>
        <w:ind w:left="1714"/>
      </w:pPr>
      <w:r w:rsidRPr="000010A7">
        <w:rPr>
          <w:u w:val="single"/>
        </w:rPr>
        <w:tab/>
      </w:r>
    </w:p>
    <w:p w14:paraId="6E56DEE1" w14:textId="77777777" w:rsidR="00DE7693" w:rsidRPr="000010A7" w:rsidRDefault="00DE7693" w:rsidP="00DE7693"/>
    <w:tbl>
      <w:tblPr>
        <w:tblW w:w="0" w:type="auto"/>
        <w:tblLook w:val="04A0" w:firstRow="1" w:lastRow="0" w:firstColumn="1" w:lastColumn="0" w:noHBand="0" w:noVBand="1"/>
      </w:tblPr>
      <w:tblGrid>
        <w:gridCol w:w="1728"/>
        <w:gridCol w:w="7740"/>
      </w:tblGrid>
      <w:tr w:rsidR="00EC1D30" w:rsidRPr="000010A7" w14:paraId="39695238" w14:textId="77777777" w:rsidTr="0040163C">
        <w:tc>
          <w:tcPr>
            <w:tcW w:w="1728" w:type="dxa"/>
            <w:shd w:val="clear" w:color="auto" w:fill="auto"/>
          </w:tcPr>
          <w:p w14:paraId="15B15CF8" w14:textId="77777777" w:rsidR="00EC1D30" w:rsidRPr="000010A7" w:rsidRDefault="005D130F" w:rsidP="00EC1D30">
            <w:pPr>
              <w:rPr>
                <w:b/>
                <w:sz w:val="22"/>
              </w:rPr>
            </w:pPr>
            <w:r w:rsidRPr="000010A7">
              <w:rPr>
                <w:b/>
                <w:sz w:val="22"/>
              </w:rPr>
              <w:t>d</w:t>
            </w:r>
            <w:r w:rsidR="00EC1D30" w:rsidRPr="000010A7">
              <w:rPr>
                <w:b/>
                <w:sz w:val="22"/>
              </w:rPr>
              <w:t xml:space="preserve">.  </w:t>
            </w:r>
            <w:r w:rsidR="00E4527A" w:rsidRPr="000010A7">
              <w:rPr>
                <w:b/>
                <w:sz w:val="22"/>
              </w:rPr>
              <w:t>DBQs and ACE</w:t>
            </w:r>
          </w:p>
        </w:tc>
        <w:tc>
          <w:tcPr>
            <w:tcW w:w="7740" w:type="dxa"/>
            <w:shd w:val="clear" w:color="auto" w:fill="auto"/>
          </w:tcPr>
          <w:p w14:paraId="504859E7" w14:textId="77777777" w:rsidR="00E4527A" w:rsidRPr="000010A7" w:rsidRDefault="00E4527A" w:rsidP="00E4527A">
            <w:r w:rsidRPr="000010A7">
              <w:t>Disability Benefits Questionnaires (DBQs) and Acceptable Clinical Evidence (ACE) constitute medical evidence that</w:t>
            </w:r>
            <w:r w:rsidR="005D130F" w:rsidRPr="000010A7">
              <w:t xml:space="preserve"> is</w:t>
            </w:r>
            <w:r w:rsidRPr="000010A7">
              <w:t xml:space="preserve"> sufficient for rating purposes unless the nature of the specific disability renders ACE</w:t>
            </w:r>
            <w:r w:rsidR="005D130F" w:rsidRPr="000010A7">
              <w:t xml:space="preserve"> review </w:t>
            </w:r>
            <w:r w:rsidRPr="000010A7">
              <w:t>insufficient in providing an accurate and complete dis</w:t>
            </w:r>
            <w:r w:rsidR="004056A5" w:rsidRPr="000010A7">
              <w:t>ability picture</w:t>
            </w:r>
            <w:r w:rsidRPr="000010A7">
              <w:t xml:space="preserve">.  </w:t>
            </w:r>
          </w:p>
          <w:p w14:paraId="02ADDB86" w14:textId="77777777" w:rsidR="00E4527A" w:rsidRPr="000010A7" w:rsidRDefault="00E4527A" w:rsidP="00E4527A"/>
          <w:p w14:paraId="62CB46AB" w14:textId="77777777" w:rsidR="00E4527A" w:rsidRPr="000010A7" w:rsidRDefault="00E4527A" w:rsidP="00E4527A">
            <w:pPr>
              <w:rPr>
                <w:rFonts w:eastAsia="SimSun"/>
                <w:lang w:eastAsia="zh-CN"/>
              </w:rPr>
            </w:pPr>
            <w:r w:rsidRPr="000010A7">
              <w:rPr>
                <w:rFonts w:eastAsia="SimSun"/>
                <w:lang w:eastAsia="zh-CN"/>
              </w:rPr>
              <w:t xml:space="preserve">Under ACE, VA clinicians complete a DBQ by reviewing existing paper and/or electronic medical evidence and can supplement it with information obtained during a telephone interview with the Veteran.  This alleviates the need for the Veteran to report to an in-person examination.  The ACE process is not available for use by non-VA examiners because they do not have electronic access to VA treatment records.  </w:t>
            </w:r>
          </w:p>
          <w:p w14:paraId="2B6307A9" w14:textId="77777777" w:rsidR="00E4527A" w:rsidRPr="000010A7" w:rsidRDefault="00E4527A" w:rsidP="00E4527A">
            <w:pPr>
              <w:rPr>
                <w:rFonts w:eastAsia="SimSun"/>
                <w:lang w:eastAsia="zh-CN"/>
              </w:rPr>
            </w:pPr>
          </w:p>
          <w:p w14:paraId="11299A57" w14:textId="77777777" w:rsidR="00E4527A" w:rsidRPr="000010A7" w:rsidRDefault="00E4527A" w:rsidP="00E4527A">
            <w:pPr>
              <w:rPr>
                <w:i/>
                <w:iCs/>
              </w:rPr>
            </w:pPr>
            <w:r w:rsidRPr="000010A7">
              <w:t xml:space="preserve">The Veterans Health Administration (VHA) will determine whether use of the ACE process is appropriate, unless otherwise requested by </w:t>
            </w:r>
            <w:r w:rsidR="005D130F" w:rsidRPr="000010A7">
              <w:t>Veterans Benefits Administration (</w:t>
            </w:r>
            <w:r w:rsidRPr="000010A7">
              <w:t>VBA</w:t>
            </w:r>
            <w:r w:rsidR="005D130F" w:rsidRPr="000010A7">
              <w:t>)</w:t>
            </w:r>
            <w:r w:rsidRPr="000010A7">
              <w:t xml:space="preserve">.  Examples of situations in which the ACE process might be appropriate include, </w:t>
            </w:r>
            <w:r w:rsidRPr="000010A7">
              <w:rPr>
                <w:i/>
                <w:iCs/>
              </w:rPr>
              <w:t>but are not limited to</w:t>
            </w:r>
            <w:r w:rsidRPr="000010A7">
              <w:rPr>
                <w:iCs/>
              </w:rPr>
              <w:t>:</w:t>
            </w:r>
            <w:r w:rsidRPr="000010A7">
              <w:rPr>
                <w:i/>
                <w:iCs/>
              </w:rPr>
              <w:t xml:space="preserve">  </w:t>
            </w:r>
          </w:p>
          <w:p w14:paraId="0412BB13" w14:textId="77777777" w:rsidR="00E4527A" w:rsidRPr="000010A7" w:rsidRDefault="00E4527A" w:rsidP="00E4527A">
            <w:pPr>
              <w:rPr>
                <w:i/>
                <w:iCs/>
              </w:rPr>
            </w:pPr>
          </w:p>
          <w:p w14:paraId="5D9F759B" w14:textId="77777777" w:rsidR="00E4527A" w:rsidRPr="000010A7" w:rsidRDefault="00DC6E72" w:rsidP="00C17F48">
            <w:pPr>
              <w:pStyle w:val="ListParagraph"/>
              <w:numPr>
                <w:ilvl w:val="0"/>
                <w:numId w:val="8"/>
              </w:numPr>
              <w:ind w:left="158" w:hanging="187"/>
            </w:pPr>
            <w:proofErr w:type="gramStart"/>
            <w:r w:rsidRPr="000010A7">
              <w:t>e</w:t>
            </w:r>
            <w:r w:rsidR="00E4527A" w:rsidRPr="000010A7">
              <w:t>xisting</w:t>
            </w:r>
            <w:proofErr w:type="gramEnd"/>
            <w:r w:rsidR="00E4527A" w:rsidRPr="000010A7">
              <w:t xml:space="preserve"> medical evidence is sufficient as determined</w:t>
            </w:r>
            <w:r w:rsidRPr="000010A7">
              <w:t xml:space="preserve"> by VHA for a clinical assessment of</w:t>
            </w:r>
            <w:r w:rsidR="00E4527A" w:rsidRPr="000010A7">
              <w:t xml:space="preserve"> the level of impairment.  </w:t>
            </w:r>
          </w:p>
          <w:p w14:paraId="496FB3DE" w14:textId="087752E4" w:rsidR="00E4527A" w:rsidRPr="000010A7" w:rsidRDefault="00DC6E72" w:rsidP="00C17F48">
            <w:pPr>
              <w:pStyle w:val="ListParagraph"/>
              <w:numPr>
                <w:ilvl w:val="0"/>
                <w:numId w:val="8"/>
              </w:numPr>
              <w:ind w:left="158" w:hanging="187"/>
            </w:pPr>
            <w:r w:rsidRPr="000010A7">
              <w:t>a</w:t>
            </w:r>
            <w:r w:rsidR="00E4527A" w:rsidRPr="000010A7">
              <w:t xml:space="preserve"> medical opinion is needed to determine whether a disability was incurred or aggravated in service, or related to a</w:t>
            </w:r>
            <w:r w:rsidRPr="000010A7">
              <w:t xml:space="preserve"> </w:t>
            </w:r>
            <w:r w:rsidR="003C3126" w:rsidRPr="000010A7">
              <w:t>service-connected (</w:t>
            </w:r>
            <w:r w:rsidRPr="000010A7">
              <w:t>SC</w:t>
            </w:r>
            <w:r w:rsidR="003C3126" w:rsidRPr="000010A7">
              <w:t>)</w:t>
            </w:r>
            <w:r w:rsidRPr="000010A7">
              <w:t xml:space="preserve"> disability, or</w:t>
            </w:r>
          </w:p>
          <w:p w14:paraId="5D542F74" w14:textId="77777777" w:rsidR="00E4527A" w:rsidRPr="000010A7" w:rsidRDefault="00DC6E72" w:rsidP="00C17F48">
            <w:pPr>
              <w:pStyle w:val="ListParagraph"/>
              <w:numPr>
                <w:ilvl w:val="0"/>
                <w:numId w:val="8"/>
              </w:numPr>
              <w:ind w:left="158" w:hanging="187"/>
            </w:pPr>
            <w:proofErr w:type="gramStart"/>
            <w:r w:rsidRPr="000010A7">
              <w:t>an</w:t>
            </w:r>
            <w:proofErr w:type="gramEnd"/>
            <w:r w:rsidRPr="000010A7">
              <w:t xml:space="preserve"> assessment is needed as to</w:t>
            </w:r>
            <w:r w:rsidR="00E4527A" w:rsidRPr="000010A7">
              <w:t xml:space="preserve"> whether a</w:t>
            </w:r>
            <w:r w:rsidRPr="000010A7">
              <w:t>n</w:t>
            </w:r>
            <w:r w:rsidR="00E4527A" w:rsidRPr="000010A7">
              <w:t xml:space="preserve"> SC disability caused or contributed to a Veteran’s death.  </w:t>
            </w:r>
          </w:p>
          <w:p w14:paraId="01AD4CE3" w14:textId="77777777" w:rsidR="00E4527A" w:rsidRPr="000010A7" w:rsidRDefault="00E4527A" w:rsidP="00E4527A">
            <w:pPr>
              <w:rPr>
                <w:i/>
                <w:iCs/>
              </w:rPr>
            </w:pPr>
          </w:p>
          <w:p w14:paraId="706B4879" w14:textId="77777777" w:rsidR="00E4527A" w:rsidRPr="000010A7" w:rsidRDefault="00E4527A" w:rsidP="00E4527A">
            <w:r w:rsidRPr="000010A7">
              <w:t>An in-person examination will be requested in lieu of ACE</w:t>
            </w:r>
            <w:r w:rsidR="00DC6E72" w:rsidRPr="000010A7">
              <w:t xml:space="preserve"> in the following circumstances</w:t>
            </w:r>
          </w:p>
          <w:p w14:paraId="5EC84A03" w14:textId="77777777" w:rsidR="00DC6E72" w:rsidRPr="000010A7" w:rsidRDefault="00DC6E72" w:rsidP="00E4527A"/>
          <w:p w14:paraId="44CC2FD4" w14:textId="77777777" w:rsidR="00E4527A" w:rsidRPr="000010A7" w:rsidRDefault="00E4527A" w:rsidP="00C17F48">
            <w:pPr>
              <w:pStyle w:val="ListParagraph"/>
              <w:numPr>
                <w:ilvl w:val="0"/>
                <w:numId w:val="9"/>
              </w:numPr>
              <w:ind w:left="158" w:hanging="187"/>
            </w:pPr>
            <w:r w:rsidRPr="000010A7">
              <w:t>it is determined that an in-person examination is required</w:t>
            </w:r>
          </w:p>
          <w:p w14:paraId="6853B094" w14:textId="77777777" w:rsidR="00E4527A" w:rsidRPr="000010A7" w:rsidRDefault="00DC6E72" w:rsidP="00C17F48">
            <w:pPr>
              <w:pStyle w:val="ListParagraph"/>
              <w:numPr>
                <w:ilvl w:val="0"/>
                <w:numId w:val="9"/>
              </w:numPr>
              <w:ind w:left="158" w:hanging="187"/>
            </w:pPr>
            <w:r w:rsidRPr="000010A7">
              <w:t>a BVA</w:t>
            </w:r>
            <w:r w:rsidR="00E4527A" w:rsidRPr="000010A7">
              <w:t xml:space="preserve"> remand ordered an examination</w:t>
            </w:r>
          </w:p>
          <w:p w14:paraId="6DAA126D" w14:textId="77777777" w:rsidR="00E4527A" w:rsidRPr="000010A7" w:rsidRDefault="00E4527A" w:rsidP="00C17F48">
            <w:pPr>
              <w:pStyle w:val="ListParagraph"/>
              <w:numPr>
                <w:ilvl w:val="0"/>
                <w:numId w:val="9"/>
              </w:numPr>
              <w:ind w:left="158" w:hanging="187"/>
            </w:pPr>
            <w:r w:rsidRPr="000010A7">
              <w:t>the disability at issue is a mental condition</w:t>
            </w:r>
          </w:p>
          <w:p w14:paraId="3091D8AF" w14:textId="77777777" w:rsidR="00DC6E72" w:rsidRPr="000010A7" w:rsidRDefault="00DC6E72" w:rsidP="00C17F48">
            <w:pPr>
              <w:pStyle w:val="ListParagraph"/>
              <w:numPr>
                <w:ilvl w:val="0"/>
                <w:numId w:val="9"/>
              </w:numPr>
              <w:ind w:left="158" w:hanging="187"/>
            </w:pPr>
            <w:r w:rsidRPr="000010A7">
              <w:t xml:space="preserve">the claim is </w:t>
            </w:r>
            <w:r w:rsidR="00E4527A" w:rsidRPr="000010A7">
              <w:t xml:space="preserve">a </w:t>
            </w:r>
            <w:proofErr w:type="spellStart"/>
            <w:r w:rsidR="00E4527A" w:rsidRPr="000010A7">
              <w:t>predischarge</w:t>
            </w:r>
            <w:proofErr w:type="spellEnd"/>
            <w:r w:rsidR="00E4527A" w:rsidRPr="000010A7">
              <w:t xml:space="preserve"> claim, or</w:t>
            </w:r>
          </w:p>
          <w:p w14:paraId="6632796E" w14:textId="77777777" w:rsidR="00EC1D30" w:rsidRPr="000010A7" w:rsidRDefault="008A3D64" w:rsidP="00C17F48">
            <w:pPr>
              <w:pStyle w:val="ListParagraph"/>
              <w:numPr>
                <w:ilvl w:val="0"/>
                <w:numId w:val="9"/>
              </w:numPr>
              <w:ind w:left="158" w:hanging="187"/>
            </w:pPr>
            <w:proofErr w:type="gramStart"/>
            <w:r w:rsidRPr="000010A7">
              <w:t>the</w:t>
            </w:r>
            <w:proofErr w:type="gramEnd"/>
            <w:r w:rsidRPr="000010A7">
              <w:t xml:space="preserve"> claim involves electronic medical records not available to VHA.  </w:t>
            </w:r>
          </w:p>
        </w:tc>
      </w:tr>
    </w:tbl>
    <w:p w14:paraId="3801B3AD" w14:textId="77777777" w:rsidR="00AD5525" w:rsidRPr="000010A7" w:rsidRDefault="00AD5525">
      <w:pPr>
        <w:pStyle w:val="BlockLine"/>
      </w:pPr>
    </w:p>
    <w:tbl>
      <w:tblPr>
        <w:tblW w:w="0" w:type="auto"/>
        <w:tblLayout w:type="fixed"/>
        <w:tblLook w:val="0000" w:firstRow="0" w:lastRow="0" w:firstColumn="0" w:lastColumn="0" w:noHBand="0" w:noVBand="0"/>
      </w:tblPr>
      <w:tblGrid>
        <w:gridCol w:w="1728"/>
        <w:gridCol w:w="7740"/>
      </w:tblGrid>
      <w:tr w:rsidR="00AD5525" w:rsidRPr="000010A7" w14:paraId="6BA19339" w14:textId="77777777" w:rsidTr="001B1806">
        <w:trPr>
          <w:cantSplit/>
        </w:trPr>
        <w:tc>
          <w:tcPr>
            <w:tcW w:w="1728" w:type="dxa"/>
            <w:shd w:val="clear" w:color="auto" w:fill="auto"/>
          </w:tcPr>
          <w:p w14:paraId="3456C4FF" w14:textId="39BEE120" w:rsidR="00AD5525" w:rsidRPr="000010A7" w:rsidRDefault="00DC6E72">
            <w:pPr>
              <w:pStyle w:val="Heading5"/>
            </w:pPr>
            <w:proofErr w:type="gramStart"/>
            <w:r w:rsidRPr="000010A7">
              <w:t>e</w:t>
            </w:r>
            <w:r w:rsidR="00AD5525" w:rsidRPr="000010A7">
              <w:t xml:space="preserve">.  </w:t>
            </w:r>
            <w:r w:rsidR="004F51B4" w:rsidRPr="000010A7">
              <w:t>Basis</w:t>
            </w:r>
            <w:proofErr w:type="gramEnd"/>
            <w:r w:rsidR="004F51B4" w:rsidRPr="000010A7">
              <w:t xml:space="preserve"> for </w:t>
            </w:r>
            <w:r w:rsidR="00AD5525" w:rsidRPr="000010A7">
              <w:t>Rejecting Medical Evidence</w:t>
            </w:r>
          </w:p>
        </w:tc>
        <w:tc>
          <w:tcPr>
            <w:tcW w:w="7740" w:type="dxa"/>
            <w:shd w:val="clear" w:color="auto" w:fill="auto"/>
          </w:tcPr>
          <w:p w14:paraId="723F00BE" w14:textId="77777777" w:rsidR="00AD5525" w:rsidRPr="000010A7" w:rsidRDefault="00AD5525" w:rsidP="001B1806">
            <w:pPr>
              <w:pStyle w:val="BlockText"/>
            </w:pPr>
            <w:r w:rsidRPr="000010A7">
              <w:t xml:space="preserve">The RSVR may </w:t>
            </w:r>
            <w:r w:rsidRPr="000010A7">
              <w:rPr>
                <w:i/>
              </w:rPr>
              <w:t>not</w:t>
            </w:r>
            <w:r w:rsidRPr="000010A7">
              <w:t xml:space="preserve"> rely upon his/her own unsubstantiated medical conclusions to reject expert medical evidence provided by the claimant.</w:t>
            </w:r>
          </w:p>
          <w:p w14:paraId="760C6897" w14:textId="77777777" w:rsidR="00AD5525" w:rsidRPr="000010A7" w:rsidRDefault="00AD5525" w:rsidP="001B1806">
            <w:pPr>
              <w:pStyle w:val="BlockText"/>
            </w:pPr>
          </w:p>
          <w:p w14:paraId="55155487" w14:textId="77777777" w:rsidR="00AD5525" w:rsidRPr="000010A7" w:rsidRDefault="00AD5525" w:rsidP="001B1806">
            <w:pPr>
              <w:pStyle w:val="BlockText"/>
            </w:pPr>
            <w:r w:rsidRPr="000010A7">
              <w:rPr>
                <w:b/>
                <w:i/>
              </w:rPr>
              <w:t>Reference</w:t>
            </w:r>
            <w:r w:rsidRPr="000010A7">
              <w:t>:  For more information on the basis for rejecting medical evidence, see</w:t>
            </w:r>
          </w:p>
          <w:p w14:paraId="2E5899A2" w14:textId="77777777" w:rsidR="00AD5525" w:rsidRPr="000010A7" w:rsidRDefault="000010A7">
            <w:pPr>
              <w:pStyle w:val="BulletText1"/>
            </w:pPr>
            <w:hyperlink r:id="rId57" w:anchor="bmc" w:history="1">
              <w:proofErr w:type="spellStart"/>
              <w:r w:rsidR="00230DE7" w:rsidRPr="000010A7">
                <w:rPr>
                  <w:rStyle w:val="Hyperlink"/>
                  <w:i/>
                </w:rPr>
                <w:t>Shipwash</w:t>
              </w:r>
              <w:proofErr w:type="spellEnd"/>
              <w:r w:rsidR="00230DE7" w:rsidRPr="000010A7">
                <w:rPr>
                  <w:rStyle w:val="Hyperlink"/>
                  <w:i/>
                </w:rPr>
                <w:t xml:space="preserve"> v. Brown</w:t>
              </w:r>
            </w:hyperlink>
            <w:r w:rsidR="007F4F11" w:rsidRPr="000010A7">
              <w:rPr>
                <w:i/>
              </w:rPr>
              <w:t>,</w:t>
            </w:r>
            <w:r w:rsidR="007F4F11" w:rsidRPr="000010A7">
              <w:t xml:space="preserve"> </w:t>
            </w:r>
            <w:proofErr w:type="gramStart"/>
            <w:r w:rsidR="007F4F11" w:rsidRPr="000010A7">
              <w:t xml:space="preserve">8 </w:t>
            </w:r>
            <w:proofErr w:type="spellStart"/>
            <w:r w:rsidR="007F4F11" w:rsidRPr="000010A7">
              <w:t>Vet.App</w:t>
            </w:r>
            <w:proofErr w:type="spellEnd"/>
            <w:proofErr w:type="gramEnd"/>
            <w:r w:rsidR="007F4F11" w:rsidRPr="000010A7">
              <w:t xml:space="preserve">. 218 </w:t>
            </w:r>
            <w:r w:rsidR="00AD5525" w:rsidRPr="000010A7">
              <w:t>(1995), and</w:t>
            </w:r>
          </w:p>
          <w:p w14:paraId="180AA67C" w14:textId="77777777" w:rsidR="00AD5525" w:rsidRPr="000010A7" w:rsidRDefault="000010A7">
            <w:pPr>
              <w:pStyle w:val="BulletText1"/>
            </w:pPr>
            <w:hyperlink r:id="rId58" w:anchor="bmc" w:history="1">
              <w:r w:rsidR="00AD5525" w:rsidRPr="000010A7">
                <w:rPr>
                  <w:rStyle w:val="Hyperlink"/>
                  <w:i/>
                </w:rPr>
                <w:t xml:space="preserve">Colvin v. </w:t>
              </w:r>
              <w:proofErr w:type="spellStart"/>
              <w:r w:rsidR="00AD5525" w:rsidRPr="000010A7">
                <w:rPr>
                  <w:rStyle w:val="Hyperlink"/>
                  <w:i/>
                </w:rPr>
                <w:t>Derwinski</w:t>
              </w:r>
              <w:proofErr w:type="spellEnd"/>
            </w:hyperlink>
            <w:r w:rsidR="007F4F11" w:rsidRPr="000010A7">
              <w:rPr>
                <w:i/>
              </w:rPr>
              <w:t>,</w:t>
            </w:r>
            <w:r w:rsidR="007F4F11" w:rsidRPr="000010A7">
              <w:t xml:space="preserve"> </w:t>
            </w:r>
            <w:proofErr w:type="spellStart"/>
            <w:r w:rsidR="007F4F11" w:rsidRPr="000010A7">
              <w:t>Vet.</w:t>
            </w:r>
            <w:r w:rsidR="00AD5525" w:rsidRPr="000010A7">
              <w:t>App</w:t>
            </w:r>
            <w:proofErr w:type="spellEnd"/>
            <w:r w:rsidR="00AD5525" w:rsidRPr="000010A7">
              <w:t>. 175 (1991).</w:t>
            </w:r>
          </w:p>
        </w:tc>
      </w:tr>
    </w:tbl>
    <w:p w14:paraId="3099EA0B" w14:textId="77777777" w:rsidR="00AD5525" w:rsidRPr="000010A7" w:rsidRDefault="00AD5525">
      <w:pPr>
        <w:pStyle w:val="BlockLine"/>
      </w:pPr>
    </w:p>
    <w:tbl>
      <w:tblPr>
        <w:tblW w:w="0" w:type="auto"/>
        <w:tblLayout w:type="fixed"/>
        <w:tblLook w:val="0000" w:firstRow="0" w:lastRow="0" w:firstColumn="0" w:lastColumn="0" w:noHBand="0" w:noVBand="0"/>
      </w:tblPr>
      <w:tblGrid>
        <w:gridCol w:w="1728"/>
        <w:gridCol w:w="7740"/>
      </w:tblGrid>
      <w:tr w:rsidR="00AD5525" w:rsidRPr="000010A7" w14:paraId="530BF811" w14:textId="77777777" w:rsidTr="003C3126">
        <w:tc>
          <w:tcPr>
            <w:tcW w:w="1728" w:type="dxa"/>
            <w:shd w:val="clear" w:color="auto" w:fill="FFFFFF"/>
          </w:tcPr>
          <w:p w14:paraId="1BB476E6" w14:textId="3F5371F4" w:rsidR="00AD5525" w:rsidRPr="000010A7" w:rsidRDefault="00230DE7">
            <w:pPr>
              <w:pStyle w:val="Heading5"/>
            </w:pPr>
            <w:proofErr w:type="gramStart"/>
            <w:r w:rsidRPr="000010A7">
              <w:t>f</w:t>
            </w:r>
            <w:r w:rsidR="00AD5525" w:rsidRPr="000010A7">
              <w:t>.  Supporting</w:t>
            </w:r>
            <w:proofErr w:type="gramEnd"/>
            <w:r w:rsidR="00AD5525" w:rsidRPr="000010A7">
              <w:t xml:space="preserve"> Medical Conclusions</w:t>
            </w:r>
            <w:r w:rsidR="004F51B4" w:rsidRPr="000010A7">
              <w:t xml:space="preserve"> With Evidence in the Claims Folder</w:t>
            </w:r>
          </w:p>
        </w:tc>
        <w:tc>
          <w:tcPr>
            <w:tcW w:w="7740" w:type="dxa"/>
            <w:shd w:val="clear" w:color="auto" w:fill="FFFFFF"/>
          </w:tcPr>
          <w:p w14:paraId="7542134B" w14:textId="77777777" w:rsidR="00AD5525" w:rsidRPr="000010A7" w:rsidRDefault="00AD5525" w:rsidP="001B1806">
            <w:pPr>
              <w:pStyle w:val="BlockText"/>
            </w:pPr>
            <w:r w:rsidRPr="000010A7">
              <w:t>Support medical conclusions with evidence in the claims folder.</w:t>
            </w:r>
          </w:p>
          <w:p w14:paraId="02EB17DD" w14:textId="77777777" w:rsidR="00AD5525" w:rsidRPr="000010A7" w:rsidRDefault="00AD5525" w:rsidP="001B1806">
            <w:pPr>
              <w:pStyle w:val="BlockText"/>
            </w:pPr>
          </w:p>
          <w:p w14:paraId="0FFF3741" w14:textId="77777777" w:rsidR="00AD5525" w:rsidRPr="000010A7" w:rsidRDefault="00AD5525" w:rsidP="001B1806">
            <w:pPr>
              <w:pStyle w:val="BlockText"/>
            </w:pPr>
            <w:r w:rsidRPr="000010A7">
              <w:t>Cite medical information and reasoning to</w:t>
            </w:r>
          </w:p>
          <w:p w14:paraId="4CF77468" w14:textId="77777777" w:rsidR="00AD5525" w:rsidRPr="000010A7" w:rsidRDefault="00AD5525" w:rsidP="001B1806">
            <w:pPr>
              <w:pStyle w:val="BlockText"/>
            </w:pPr>
          </w:p>
          <w:p w14:paraId="4C39A8AD" w14:textId="77777777" w:rsidR="00AD5525" w:rsidRPr="000010A7" w:rsidRDefault="00AD5525">
            <w:pPr>
              <w:pStyle w:val="BulletText1"/>
            </w:pPr>
            <w:r w:rsidRPr="000010A7">
              <w:t>link or separate two disabilities, or</w:t>
            </w:r>
          </w:p>
          <w:p w14:paraId="5B08C817" w14:textId="77777777" w:rsidR="00AD5525" w:rsidRPr="000010A7" w:rsidRDefault="00AD5525">
            <w:pPr>
              <w:pStyle w:val="BulletText1"/>
            </w:pPr>
            <w:proofErr w:type="gramStart"/>
            <w:r w:rsidRPr="000010A7">
              <w:t>establish</w:t>
            </w:r>
            <w:proofErr w:type="gramEnd"/>
            <w:r w:rsidRPr="000010A7">
              <w:t xml:space="preserve"> or refute prior inception or aggravation. </w:t>
            </w:r>
          </w:p>
          <w:p w14:paraId="77A73344" w14:textId="77777777" w:rsidR="00AD5525" w:rsidRPr="000010A7" w:rsidRDefault="00AD5525" w:rsidP="001B1806">
            <w:pPr>
              <w:pStyle w:val="BlockText"/>
            </w:pPr>
          </w:p>
          <w:p w14:paraId="6466B3C8" w14:textId="77777777" w:rsidR="00AD5525" w:rsidRPr="000010A7" w:rsidRDefault="00AD5525" w:rsidP="001B1806">
            <w:pPr>
              <w:pStyle w:val="BlockText"/>
            </w:pPr>
            <w:r w:rsidRPr="000010A7">
              <w:rPr>
                <w:b/>
                <w:i/>
              </w:rPr>
              <w:t>Note</w:t>
            </w:r>
            <w:r w:rsidRPr="000010A7">
              <w:t>:  If evidence such as medical treatises or independent medical opinions were relied upon when the rating decision was made, explain this in the rating decision.</w:t>
            </w:r>
          </w:p>
        </w:tc>
      </w:tr>
    </w:tbl>
    <w:p w14:paraId="0D387A0C" w14:textId="77777777" w:rsidR="00AD5525" w:rsidRPr="000010A7" w:rsidRDefault="00AD5525">
      <w:pPr>
        <w:pStyle w:val="BlockLine"/>
      </w:pPr>
    </w:p>
    <w:tbl>
      <w:tblPr>
        <w:tblW w:w="0" w:type="auto"/>
        <w:tblLayout w:type="fixed"/>
        <w:tblLook w:val="0000" w:firstRow="0" w:lastRow="0" w:firstColumn="0" w:lastColumn="0" w:noHBand="0" w:noVBand="0"/>
      </w:tblPr>
      <w:tblGrid>
        <w:gridCol w:w="1728"/>
        <w:gridCol w:w="7740"/>
      </w:tblGrid>
      <w:tr w:rsidR="00AD5525" w:rsidRPr="000010A7" w14:paraId="193A36EF" w14:textId="77777777" w:rsidTr="001B1806">
        <w:trPr>
          <w:cantSplit/>
        </w:trPr>
        <w:tc>
          <w:tcPr>
            <w:tcW w:w="1728" w:type="dxa"/>
            <w:shd w:val="clear" w:color="auto" w:fill="auto"/>
          </w:tcPr>
          <w:p w14:paraId="4AAED7FB" w14:textId="78CF3E46" w:rsidR="00AD5525" w:rsidRPr="000010A7" w:rsidRDefault="00230DE7">
            <w:pPr>
              <w:pStyle w:val="Heading5"/>
            </w:pPr>
            <w:proofErr w:type="gramStart"/>
            <w:r w:rsidRPr="000010A7">
              <w:t>g</w:t>
            </w:r>
            <w:r w:rsidR="00AD5525" w:rsidRPr="000010A7">
              <w:t>.  Considering</w:t>
            </w:r>
            <w:proofErr w:type="gramEnd"/>
            <w:r w:rsidR="00AD5525" w:rsidRPr="000010A7">
              <w:t xml:space="preserve"> </w:t>
            </w:r>
            <w:r w:rsidRPr="000010A7">
              <w:t>F</w:t>
            </w:r>
            <w:r w:rsidR="00AD5525" w:rsidRPr="000010A7">
              <w:t>POW Protocol Examination Report</w:t>
            </w:r>
            <w:r w:rsidR="00E36BE6" w:rsidRPr="000010A7">
              <w:t>s</w:t>
            </w:r>
          </w:p>
        </w:tc>
        <w:tc>
          <w:tcPr>
            <w:tcW w:w="7740" w:type="dxa"/>
            <w:shd w:val="clear" w:color="auto" w:fill="auto"/>
          </w:tcPr>
          <w:p w14:paraId="30A085D0" w14:textId="0AE1C4D0" w:rsidR="00AD5525" w:rsidRPr="000010A7" w:rsidRDefault="00AD5525" w:rsidP="001B1806">
            <w:pPr>
              <w:pStyle w:val="BlockText"/>
              <w:rPr>
                <w:b/>
              </w:rPr>
            </w:pPr>
            <w:r w:rsidRPr="000010A7">
              <w:t xml:space="preserve">Carefully consider </w:t>
            </w:r>
            <w:r w:rsidR="00DE7693" w:rsidRPr="000010A7">
              <w:t xml:space="preserve">former </w:t>
            </w:r>
            <w:r w:rsidRPr="000010A7">
              <w:t>prisoner of war (</w:t>
            </w:r>
            <w:r w:rsidR="00DE7693" w:rsidRPr="000010A7">
              <w:t>F</w:t>
            </w:r>
            <w:r w:rsidRPr="000010A7">
              <w:t xml:space="preserve">POW) protocol examination reports because they may provide sufficient background information to relate the </w:t>
            </w:r>
            <w:r w:rsidR="00865D9A" w:rsidRPr="000010A7">
              <w:t>Veteran</w:t>
            </w:r>
            <w:r w:rsidRPr="000010A7">
              <w:t xml:space="preserve">’s current symptomatology to the </w:t>
            </w:r>
            <w:r w:rsidR="00DE7693" w:rsidRPr="000010A7">
              <w:t>F</w:t>
            </w:r>
            <w:r w:rsidRPr="000010A7">
              <w:t>POW experience.</w:t>
            </w:r>
          </w:p>
        </w:tc>
      </w:tr>
    </w:tbl>
    <w:p w14:paraId="695A3568" w14:textId="77777777" w:rsidR="00AD5525" w:rsidRPr="000010A7" w:rsidRDefault="00AD5525">
      <w:pPr>
        <w:pStyle w:val="BlockLine"/>
      </w:pPr>
    </w:p>
    <w:tbl>
      <w:tblPr>
        <w:tblW w:w="0" w:type="auto"/>
        <w:tblLayout w:type="fixed"/>
        <w:tblLook w:val="0000" w:firstRow="0" w:lastRow="0" w:firstColumn="0" w:lastColumn="0" w:noHBand="0" w:noVBand="0"/>
      </w:tblPr>
      <w:tblGrid>
        <w:gridCol w:w="1728"/>
        <w:gridCol w:w="7740"/>
      </w:tblGrid>
      <w:tr w:rsidR="00AD5525" w:rsidRPr="000010A7" w14:paraId="7A36F2CE" w14:textId="77777777" w:rsidTr="001B1806">
        <w:trPr>
          <w:cantSplit/>
        </w:trPr>
        <w:tc>
          <w:tcPr>
            <w:tcW w:w="1728" w:type="dxa"/>
            <w:shd w:val="clear" w:color="auto" w:fill="auto"/>
          </w:tcPr>
          <w:p w14:paraId="44BFB4AB" w14:textId="12480AE0" w:rsidR="00AD5525" w:rsidRPr="000010A7" w:rsidRDefault="00230DE7">
            <w:pPr>
              <w:pStyle w:val="Heading5"/>
            </w:pPr>
            <w:proofErr w:type="gramStart"/>
            <w:r w:rsidRPr="000010A7">
              <w:t>h</w:t>
            </w:r>
            <w:r w:rsidR="00AD5525" w:rsidRPr="000010A7">
              <w:t>.  Evaluating</w:t>
            </w:r>
            <w:proofErr w:type="gramEnd"/>
            <w:r w:rsidR="00AD5525" w:rsidRPr="000010A7">
              <w:t xml:space="preserve"> STRs</w:t>
            </w:r>
          </w:p>
        </w:tc>
        <w:tc>
          <w:tcPr>
            <w:tcW w:w="7740" w:type="dxa"/>
            <w:shd w:val="clear" w:color="auto" w:fill="auto"/>
          </w:tcPr>
          <w:p w14:paraId="0982CE74" w14:textId="77777777" w:rsidR="00AD5525" w:rsidRPr="000010A7" w:rsidRDefault="00AD5525" w:rsidP="00926BB8">
            <w:pPr>
              <w:pStyle w:val="BlockText"/>
            </w:pPr>
            <w:r w:rsidRPr="000010A7">
              <w:t xml:space="preserve">Service treatment records </w:t>
            </w:r>
            <w:r w:rsidR="00230DE7" w:rsidRPr="000010A7">
              <w:t>(S</w:t>
            </w:r>
            <w:r w:rsidRPr="000010A7">
              <w:t>TRs</w:t>
            </w:r>
            <w:r w:rsidR="00230DE7" w:rsidRPr="000010A7">
              <w:t>)</w:t>
            </w:r>
            <w:r w:rsidRPr="000010A7">
              <w:t xml:space="preserve"> are generally highly probative, but not necessarily determinative, in the resolution of service connection.</w:t>
            </w:r>
            <w:r w:rsidR="00E4527A" w:rsidRPr="000010A7">
              <w:t xml:space="preserve">  A current disability and, in some cases, a nexus between the current disability and an injury or disease shown in service will be required to award service connection.  </w:t>
            </w:r>
          </w:p>
        </w:tc>
      </w:tr>
    </w:tbl>
    <w:p w14:paraId="290DD1A8" w14:textId="77777777" w:rsidR="00AD5525" w:rsidRPr="000010A7" w:rsidRDefault="00AD5525">
      <w:pPr>
        <w:pStyle w:val="BlockLine"/>
      </w:pPr>
    </w:p>
    <w:tbl>
      <w:tblPr>
        <w:tblW w:w="0" w:type="auto"/>
        <w:tblLayout w:type="fixed"/>
        <w:tblLook w:val="0000" w:firstRow="0" w:lastRow="0" w:firstColumn="0" w:lastColumn="0" w:noHBand="0" w:noVBand="0"/>
      </w:tblPr>
      <w:tblGrid>
        <w:gridCol w:w="1728"/>
        <w:gridCol w:w="7740"/>
      </w:tblGrid>
      <w:tr w:rsidR="00AD5525" w:rsidRPr="000010A7" w14:paraId="5F5FF447" w14:textId="77777777" w:rsidTr="001B1806">
        <w:trPr>
          <w:cantSplit/>
        </w:trPr>
        <w:tc>
          <w:tcPr>
            <w:tcW w:w="1728" w:type="dxa"/>
            <w:shd w:val="clear" w:color="auto" w:fill="auto"/>
          </w:tcPr>
          <w:p w14:paraId="1230E76F" w14:textId="77777777" w:rsidR="00AD5525" w:rsidRPr="000010A7" w:rsidRDefault="00230DE7">
            <w:pPr>
              <w:pStyle w:val="Heading5"/>
            </w:pPr>
            <w:proofErr w:type="spellStart"/>
            <w:proofErr w:type="gramStart"/>
            <w:r w:rsidRPr="000010A7">
              <w:t>i</w:t>
            </w:r>
            <w:proofErr w:type="spellEnd"/>
            <w:r w:rsidR="00AD5525" w:rsidRPr="000010A7">
              <w:t>.  Statements</w:t>
            </w:r>
            <w:proofErr w:type="gramEnd"/>
            <w:r w:rsidR="00AD5525" w:rsidRPr="000010A7">
              <w:t xml:space="preserve"> From Physicians as Acceptable Evidence</w:t>
            </w:r>
            <w:r w:rsidR="002A5497" w:rsidRPr="000010A7">
              <w:t xml:space="preserve"> for Rating Purposes Without Further Examination</w:t>
            </w:r>
          </w:p>
        </w:tc>
        <w:tc>
          <w:tcPr>
            <w:tcW w:w="7740" w:type="dxa"/>
            <w:shd w:val="clear" w:color="auto" w:fill="auto"/>
          </w:tcPr>
          <w:p w14:paraId="792B5926" w14:textId="77777777" w:rsidR="00AD5525" w:rsidRPr="000010A7" w:rsidRDefault="00AD5525" w:rsidP="001B1806">
            <w:pPr>
              <w:pStyle w:val="BlockText"/>
            </w:pPr>
            <w:r w:rsidRPr="000010A7">
              <w:t>A statement from any physician can be accepted for rating purposes without further examination if it</w:t>
            </w:r>
          </w:p>
          <w:p w14:paraId="0F08001E" w14:textId="77777777" w:rsidR="00AD5525" w:rsidRPr="000010A7" w:rsidRDefault="00AD5525" w:rsidP="001B1806">
            <w:pPr>
              <w:pStyle w:val="BlockText"/>
            </w:pPr>
          </w:p>
          <w:p w14:paraId="40F9355F" w14:textId="70D5E666" w:rsidR="00AD5525" w:rsidRPr="000010A7" w:rsidRDefault="00AD5525">
            <w:pPr>
              <w:pStyle w:val="BulletText1"/>
            </w:pPr>
            <w:r w:rsidRPr="000010A7">
              <w:t xml:space="preserve">is otherwise </w:t>
            </w:r>
            <w:r w:rsidR="004056A5" w:rsidRPr="000010A7">
              <w:t>sufficient</w:t>
            </w:r>
            <w:r w:rsidRPr="000010A7">
              <w:t xml:space="preserve"> for rating purposes, and</w:t>
            </w:r>
          </w:p>
          <w:p w14:paraId="33815960" w14:textId="77777777" w:rsidR="00AD5525" w:rsidRPr="000010A7" w:rsidRDefault="00AD5525">
            <w:pPr>
              <w:pStyle w:val="BulletText1"/>
            </w:pPr>
            <w:proofErr w:type="gramStart"/>
            <w:r w:rsidRPr="000010A7">
              <w:t>includes</w:t>
            </w:r>
            <w:proofErr w:type="gramEnd"/>
            <w:r w:rsidRPr="000010A7">
              <w:t xml:space="preserve"> clinical manifestations and substantiation of diagnosis by findings of diagnostic techniques generally accepted by medical authorities.</w:t>
            </w:r>
          </w:p>
          <w:p w14:paraId="044E85E1" w14:textId="77777777" w:rsidR="00AD5525" w:rsidRPr="000010A7" w:rsidRDefault="00AD5525" w:rsidP="001B1806">
            <w:pPr>
              <w:pStyle w:val="BlockText"/>
            </w:pPr>
          </w:p>
          <w:p w14:paraId="5372BF96" w14:textId="58F4CBA4" w:rsidR="00AD5525" w:rsidRPr="000010A7" w:rsidRDefault="00AD5525" w:rsidP="001B1806">
            <w:pPr>
              <w:pStyle w:val="BlockText"/>
            </w:pPr>
            <w:r w:rsidRPr="000010A7">
              <w:rPr>
                <w:b/>
                <w:i/>
              </w:rPr>
              <w:t>Examples</w:t>
            </w:r>
            <w:r w:rsidRPr="000010A7">
              <w:t xml:space="preserve">:  Diagnostic techniques generally accepted by medical authorities </w:t>
            </w:r>
            <w:r w:rsidR="00230DE7" w:rsidRPr="000010A7">
              <w:t>include</w:t>
            </w:r>
            <w:r w:rsidRPr="000010A7">
              <w:t xml:space="preserve"> </w:t>
            </w:r>
          </w:p>
          <w:p w14:paraId="742CB5D4" w14:textId="77777777" w:rsidR="00AD5525" w:rsidRPr="000010A7" w:rsidRDefault="00AD5525">
            <w:pPr>
              <w:pStyle w:val="BulletText1"/>
            </w:pPr>
            <w:r w:rsidRPr="000010A7">
              <w:t>pathological studies</w:t>
            </w:r>
          </w:p>
          <w:p w14:paraId="72488C22" w14:textId="77777777" w:rsidR="00AD5525" w:rsidRPr="000010A7" w:rsidRDefault="00AD5525">
            <w:pPr>
              <w:pStyle w:val="BulletText1"/>
            </w:pPr>
            <w:r w:rsidRPr="000010A7">
              <w:t>x-rays, and</w:t>
            </w:r>
          </w:p>
          <w:p w14:paraId="6434F9CC" w14:textId="77777777" w:rsidR="00AD5525" w:rsidRPr="000010A7" w:rsidRDefault="00AD5525">
            <w:pPr>
              <w:pStyle w:val="BulletText1"/>
            </w:pPr>
            <w:proofErr w:type="gramStart"/>
            <w:r w:rsidRPr="000010A7">
              <w:t>appropriate</w:t>
            </w:r>
            <w:proofErr w:type="gramEnd"/>
            <w:r w:rsidRPr="000010A7">
              <w:t xml:space="preserve"> laboratory tests.</w:t>
            </w:r>
          </w:p>
        </w:tc>
      </w:tr>
    </w:tbl>
    <w:p w14:paraId="7F2B3A94" w14:textId="77777777" w:rsidR="00AD5525" w:rsidRPr="000010A7" w:rsidRDefault="00AD5525">
      <w:pPr>
        <w:pStyle w:val="BlockLine"/>
      </w:pPr>
    </w:p>
    <w:tbl>
      <w:tblPr>
        <w:tblW w:w="0" w:type="auto"/>
        <w:tblLayout w:type="fixed"/>
        <w:tblLook w:val="0000" w:firstRow="0" w:lastRow="0" w:firstColumn="0" w:lastColumn="0" w:noHBand="0" w:noVBand="0"/>
      </w:tblPr>
      <w:tblGrid>
        <w:gridCol w:w="1728"/>
        <w:gridCol w:w="7740"/>
      </w:tblGrid>
      <w:tr w:rsidR="00AD5525" w:rsidRPr="000010A7" w14:paraId="0CAD55E7" w14:textId="77777777" w:rsidTr="003C3126">
        <w:tc>
          <w:tcPr>
            <w:tcW w:w="1728" w:type="dxa"/>
            <w:shd w:val="clear" w:color="auto" w:fill="auto"/>
          </w:tcPr>
          <w:p w14:paraId="38734A75" w14:textId="423544B2" w:rsidR="00AD5525" w:rsidRPr="000010A7" w:rsidRDefault="00230DE7">
            <w:pPr>
              <w:pStyle w:val="Heading5"/>
            </w:pPr>
            <w:proofErr w:type="gramStart"/>
            <w:r w:rsidRPr="000010A7">
              <w:t>j</w:t>
            </w:r>
            <w:r w:rsidR="00AD5525" w:rsidRPr="000010A7">
              <w:t>.  Considering</w:t>
            </w:r>
            <w:proofErr w:type="gramEnd"/>
            <w:r w:rsidR="00AD5525" w:rsidRPr="000010A7">
              <w:t xml:space="preserve"> Information in the Claims Folder</w:t>
            </w:r>
          </w:p>
        </w:tc>
        <w:tc>
          <w:tcPr>
            <w:tcW w:w="7740" w:type="dxa"/>
            <w:shd w:val="clear" w:color="auto" w:fill="auto"/>
          </w:tcPr>
          <w:p w14:paraId="39FC4CBC" w14:textId="77777777" w:rsidR="00AD5525" w:rsidRPr="000010A7" w:rsidRDefault="00AD5525" w:rsidP="001B1806">
            <w:pPr>
              <w:pStyle w:val="BlockText"/>
            </w:pPr>
            <w:r w:rsidRPr="000010A7">
              <w:t>The information in the claims folder must support the medical conclusions.</w:t>
            </w:r>
          </w:p>
          <w:p w14:paraId="1F18A729" w14:textId="77777777" w:rsidR="00AD5525" w:rsidRPr="000010A7" w:rsidRDefault="00AD5525" w:rsidP="001B1806">
            <w:pPr>
              <w:pStyle w:val="BlockText"/>
            </w:pPr>
          </w:p>
          <w:p w14:paraId="0FD181BA" w14:textId="10992CA5" w:rsidR="00AD5525" w:rsidRPr="000010A7" w:rsidRDefault="00AD5525" w:rsidP="001B1806">
            <w:pPr>
              <w:pStyle w:val="BlockText"/>
            </w:pPr>
            <w:r w:rsidRPr="000010A7">
              <w:t>Consider the following information in the claims folder</w:t>
            </w:r>
          </w:p>
          <w:p w14:paraId="736A6807" w14:textId="77777777" w:rsidR="00AD5525" w:rsidRPr="000010A7" w:rsidRDefault="00AD5525" w:rsidP="001B1806">
            <w:pPr>
              <w:pStyle w:val="BlockText"/>
            </w:pPr>
          </w:p>
          <w:p w14:paraId="5425BBDE" w14:textId="77777777" w:rsidR="00AD5525" w:rsidRPr="000010A7" w:rsidRDefault="00AD5525">
            <w:pPr>
              <w:pStyle w:val="BulletText1"/>
            </w:pPr>
            <w:r w:rsidRPr="000010A7">
              <w:t>applicable dates of events such as</w:t>
            </w:r>
          </w:p>
          <w:p w14:paraId="46A52012" w14:textId="77777777" w:rsidR="00AD5525" w:rsidRPr="000010A7" w:rsidRDefault="00AD5525">
            <w:pPr>
              <w:pStyle w:val="BulletText2"/>
            </w:pPr>
            <w:r w:rsidRPr="000010A7">
              <w:t>treatment reports, and</w:t>
            </w:r>
          </w:p>
          <w:p w14:paraId="47CC2602" w14:textId="77777777" w:rsidR="00AD5525" w:rsidRPr="000010A7" w:rsidRDefault="00AD5525">
            <w:pPr>
              <w:pStyle w:val="BulletText2"/>
            </w:pPr>
            <w:r w:rsidRPr="000010A7">
              <w:t>hospitalizations</w:t>
            </w:r>
          </w:p>
          <w:p w14:paraId="7DDB01E6" w14:textId="410D329C" w:rsidR="00AD5525" w:rsidRPr="000010A7" w:rsidRDefault="00AD5525">
            <w:pPr>
              <w:pStyle w:val="BulletText1"/>
            </w:pPr>
            <w:r w:rsidRPr="000010A7">
              <w:t xml:space="preserve">dates covered by the </w:t>
            </w:r>
            <w:r w:rsidR="00BE7922" w:rsidRPr="000010A7">
              <w:t>STR</w:t>
            </w:r>
            <w:r w:rsidR="00DE7693" w:rsidRPr="000010A7">
              <w:t>s</w:t>
            </w:r>
            <w:r w:rsidRPr="000010A7">
              <w:t>, identifying at least the month and year</w:t>
            </w:r>
          </w:p>
          <w:p w14:paraId="55E4D954" w14:textId="77777777" w:rsidR="00AD5525" w:rsidRPr="000010A7" w:rsidRDefault="00AD5525">
            <w:pPr>
              <w:pStyle w:val="BulletText1"/>
            </w:pPr>
            <w:r w:rsidRPr="000010A7">
              <w:t>names of</w:t>
            </w:r>
          </w:p>
          <w:p w14:paraId="47724042" w14:textId="77777777" w:rsidR="00AD5525" w:rsidRPr="000010A7" w:rsidRDefault="00AD5525">
            <w:pPr>
              <w:pStyle w:val="BulletText2"/>
            </w:pPr>
            <w:r w:rsidRPr="000010A7">
              <w:t>VA and private medical facilities</w:t>
            </w:r>
          </w:p>
          <w:p w14:paraId="05180E87" w14:textId="77777777" w:rsidR="00AD5525" w:rsidRPr="000010A7" w:rsidRDefault="00AD5525">
            <w:pPr>
              <w:pStyle w:val="BulletText2"/>
            </w:pPr>
            <w:r w:rsidRPr="000010A7">
              <w:t>private physicians, and</w:t>
            </w:r>
          </w:p>
          <w:p w14:paraId="06F20FC3" w14:textId="77777777" w:rsidR="00AD5525" w:rsidRPr="000010A7" w:rsidRDefault="00AD5525">
            <w:pPr>
              <w:pStyle w:val="BulletText2"/>
            </w:pPr>
            <w:r w:rsidRPr="000010A7">
              <w:t>other information sources, and</w:t>
            </w:r>
          </w:p>
          <w:p w14:paraId="0F536098" w14:textId="77777777" w:rsidR="00AD5525" w:rsidRPr="000010A7" w:rsidRDefault="00AD5525">
            <w:pPr>
              <w:pStyle w:val="BulletText1"/>
            </w:pPr>
            <w:proofErr w:type="gramStart"/>
            <w:r w:rsidRPr="000010A7">
              <w:t>items</w:t>
            </w:r>
            <w:proofErr w:type="gramEnd"/>
            <w:r w:rsidRPr="000010A7">
              <w:t xml:space="preserve"> of evidence that were requested but not received.</w:t>
            </w:r>
          </w:p>
        </w:tc>
      </w:tr>
    </w:tbl>
    <w:p w14:paraId="70C5389C" w14:textId="77777777" w:rsidR="00AD5525" w:rsidRPr="000010A7" w:rsidRDefault="00AD5525">
      <w:pPr>
        <w:pStyle w:val="BlockLine"/>
      </w:pPr>
    </w:p>
    <w:p w14:paraId="5919B3A1" w14:textId="325B55D3" w:rsidR="00AD5525" w:rsidRPr="000010A7" w:rsidRDefault="00AD5525">
      <w:pPr>
        <w:pStyle w:val="Heading4"/>
      </w:pPr>
      <w:r w:rsidRPr="000010A7">
        <w:br w:type="page"/>
      </w:r>
    </w:p>
    <w:p w14:paraId="6AD15C48" w14:textId="09200E46" w:rsidR="00AD5525" w:rsidRPr="000010A7" w:rsidRDefault="00BB7CC3">
      <w:pPr>
        <w:pStyle w:val="Heading4"/>
      </w:pPr>
      <w:r w:rsidRPr="000010A7">
        <w:t>4</w:t>
      </w:r>
      <w:r w:rsidR="00AD5525" w:rsidRPr="000010A7">
        <w:t xml:space="preserve">.  Reviewing Hospital Reports for </w:t>
      </w:r>
      <w:r w:rsidRPr="000010A7">
        <w:t>Sufficiency for Rating Purposes</w:t>
      </w:r>
    </w:p>
    <w:p w14:paraId="7CCE33E2" w14:textId="77777777" w:rsidR="00AD5525" w:rsidRPr="000010A7" w:rsidRDefault="00AD5525">
      <w:pPr>
        <w:pStyle w:val="BlockLine"/>
      </w:pPr>
    </w:p>
    <w:tbl>
      <w:tblPr>
        <w:tblW w:w="0" w:type="auto"/>
        <w:tblLayout w:type="fixed"/>
        <w:tblLook w:val="0000" w:firstRow="0" w:lastRow="0" w:firstColumn="0" w:lastColumn="0" w:noHBand="0" w:noVBand="0"/>
      </w:tblPr>
      <w:tblGrid>
        <w:gridCol w:w="1728"/>
        <w:gridCol w:w="7740"/>
      </w:tblGrid>
      <w:tr w:rsidR="00AD5525" w:rsidRPr="000010A7" w14:paraId="3F01FF66" w14:textId="77777777" w:rsidTr="001B1806">
        <w:trPr>
          <w:cantSplit/>
        </w:trPr>
        <w:tc>
          <w:tcPr>
            <w:tcW w:w="1728" w:type="dxa"/>
            <w:shd w:val="clear" w:color="auto" w:fill="auto"/>
          </w:tcPr>
          <w:p w14:paraId="0DA95D5D" w14:textId="77777777" w:rsidR="00AD5525" w:rsidRPr="000010A7" w:rsidRDefault="00AD5525">
            <w:pPr>
              <w:pStyle w:val="Heading5"/>
            </w:pPr>
            <w:r w:rsidRPr="000010A7">
              <w:t>Introduction</w:t>
            </w:r>
          </w:p>
        </w:tc>
        <w:tc>
          <w:tcPr>
            <w:tcW w:w="7740" w:type="dxa"/>
            <w:shd w:val="clear" w:color="auto" w:fill="auto"/>
          </w:tcPr>
          <w:p w14:paraId="356F80CB" w14:textId="2DD04662" w:rsidR="00AD5525" w:rsidRPr="000010A7" w:rsidRDefault="00AD5525" w:rsidP="001B1806">
            <w:pPr>
              <w:pStyle w:val="BlockText"/>
            </w:pPr>
            <w:r w:rsidRPr="000010A7">
              <w:t xml:space="preserve">This topic contains information about reviewing hospital reports for </w:t>
            </w:r>
            <w:r w:rsidR="00E4527A" w:rsidRPr="000010A7">
              <w:t>sufficiency for rating purposes</w:t>
            </w:r>
            <w:r w:rsidRPr="000010A7">
              <w:t>, including</w:t>
            </w:r>
          </w:p>
          <w:p w14:paraId="11ACB494" w14:textId="77777777" w:rsidR="00AD5525" w:rsidRPr="000010A7" w:rsidRDefault="00AD5525" w:rsidP="001B1806">
            <w:pPr>
              <w:pStyle w:val="BlockText"/>
            </w:pPr>
          </w:p>
          <w:p w14:paraId="29985A86" w14:textId="2CC5ACB7" w:rsidR="00AD5525" w:rsidRPr="000010A7" w:rsidRDefault="00AD5525">
            <w:pPr>
              <w:pStyle w:val="BulletText1"/>
            </w:pPr>
            <w:r w:rsidRPr="000010A7">
              <w:t>handling</w:t>
            </w:r>
            <w:r w:rsidR="00CD750C" w:rsidRPr="000010A7">
              <w:t xml:space="preserve"> </w:t>
            </w:r>
            <w:r w:rsidRPr="000010A7">
              <w:t>VA hospital reports</w:t>
            </w:r>
            <w:r w:rsidR="00E4527A" w:rsidRPr="000010A7">
              <w:t xml:space="preserve"> that are insufficient for rating purposes</w:t>
            </w:r>
          </w:p>
          <w:p w14:paraId="54D58877" w14:textId="367FA699" w:rsidR="00E4527A" w:rsidRPr="000010A7" w:rsidRDefault="00AD5525" w:rsidP="00CD750C">
            <w:pPr>
              <w:pStyle w:val="BulletText1"/>
              <w:rPr>
                <w:b/>
              </w:rPr>
            </w:pPr>
            <w:r w:rsidRPr="000010A7">
              <w:t>handling non-VA hospital reports</w:t>
            </w:r>
            <w:r w:rsidR="00E4527A" w:rsidRPr="000010A7">
              <w:t xml:space="preserve"> that are insufficient for rating purposes, and</w:t>
            </w:r>
          </w:p>
          <w:p w14:paraId="1EE12981" w14:textId="77777777" w:rsidR="00AD5525" w:rsidRPr="000010A7" w:rsidRDefault="00E4527A" w:rsidP="00CD750C">
            <w:pPr>
              <w:pStyle w:val="BulletText1"/>
              <w:rPr>
                <w:b/>
              </w:rPr>
            </w:pPr>
            <w:proofErr w:type="gramStart"/>
            <w:r w:rsidRPr="000010A7">
              <w:t>requesting</w:t>
            </w:r>
            <w:proofErr w:type="gramEnd"/>
            <w:r w:rsidRPr="000010A7">
              <w:t xml:space="preserve"> clarification from private physicians</w:t>
            </w:r>
            <w:r w:rsidR="00AD5525" w:rsidRPr="000010A7">
              <w:t>.</w:t>
            </w:r>
          </w:p>
        </w:tc>
      </w:tr>
    </w:tbl>
    <w:p w14:paraId="4AAFB51C" w14:textId="77777777" w:rsidR="00AD5525" w:rsidRPr="000010A7" w:rsidRDefault="00AD5525">
      <w:pPr>
        <w:pStyle w:val="BlockLine"/>
      </w:pPr>
    </w:p>
    <w:tbl>
      <w:tblPr>
        <w:tblW w:w="0" w:type="auto"/>
        <w:tblLayout w:type="fixed"/>
        <w:tblLook w:val="0000" w:firstRow="0" w:lastRow="0" w:firstColumn="0" w:lastColumn="0" w:noHBand="0" w:noVBand="0"/>
      </w:tblPr>
      <w:tblGrid>
        <w:gridCol w:w="1728"/>
        <w:gridCol w:w="7740"/>
      </w:tblGrid>
      <w:tr w:rsidR="00AD5525" w:rsidRPr="000010A7" w14:paraId="132FD3A8" w14:textId="77777777" w:rsidTr="001B1806">
        <w:trPr>
          <w:cantSplit/>
        </w:trPr>
        <w:tc>
          <w:tcPr>
            <w:tcW w:w="1728" w:type="dxa"/>
            <w:shd w:val="clear" w:color="auto" w:fill="auto"/>
          </w:tcPr>
          <w:p w14:paraId="51C3D0D5" w14:textId="77777777" w:rsidR="00AD5525" w:rsidRPr="000010A7" w:rsidRDefault="00AD5525">
            <w:pPr>
              <w:pStyle w:val="Heading5"/>
            </w:pPr>
            <w:r w:rsidRPr="000010A7">
              <w:t>Change Date</w:t>
            </w:r>
          </w:p>
        </w:tc>
        <w:tc>
          <w:tcPr>
            <w:tcW w:w="7740" w:type="dxa"/>
            <w:shd w:val="clear" w:color="auto" w:fill="auto"/>
          </w:tcPr>
          <w:p w14:paraId="602F572A" w14:textId="01A0D3D3" w:rsidR="00AD5525" w:rsidRPr="000010A7" w:rsidRDefault="00A53011" w:rsidP="001B1806">
            <w:pPr>
              <w:pStyle w:val="BlockText"/>
            </w:pPr>
            <w:r w:rsidRPr="000010A7">
              <w:t>July 15, 2015</w:t>
            </w:r>
          </w:p>
        </w:tc>
      </w:tr>
    </w:tbl>
    <w:p w14:paraId="2CD78F00" w14:textId="77777777" w:rsidR="00AD5525" w:rsidRPr="000010A7" w:rsidRDefault="00AD5525">
      <w:pPr>
        <w:pStyle w:val="BlockLine"/>
      </w:pPr>
    </w:p>
    <w:tbl>
      <w:tblPr>
        <w:tblW w:w="0" w:type="auto"/>
        <w:tblLayout w:type="fixed"/>
        <w:tblLook w:val="0000" w:firstRow="0" w:lastRow="0" w:firstColumn="0" w:lastColumn="0" w:noHBand="0" w:noVBand="0"/>
      </w:tblPr>
      <w:tblGrid>
        <w:gridCol w:w="1728"/>
        <w:gridCol w:w="7740"/>
      </w:tblGrid>
      <w:tr w:rsidR="00AD5525" w:rsidRPr="000010A7" w14:paraId="53AF12B2" w14:textId="77777777" w:rsidTr="001B1806">
        <w:trPr>
          <w:cantSplit/>
        </w:trPr>
        <w:tc>
          <w:tcPr>
            <w:tcW w:w="1728" w:type="dxa"/>
            <w:shd w:val="clear" w:color="auto" w:fill="auto"/>
          </w:tcPr>
          <w:p w14:paraId="6495CAF7" w14:textId="26039DB7" w:rsidR="00AD5525" w:rsidRPr="000010A7" w:rsidRDefault="00AD5525">
            <w:pPr>
              <w:pStyle w:val="Heading5"/>
            </w:pPr>
            <w:proofErr w:type="gramStart"/>
            <w:r w:rsidRPr="000010A7">
              <w:t>a.  Handling</w:t>
            </w:r>
            <w:proofErr w:type="gramEnd"/>
            <w:r w:rsidRPr="000010A7">
              <w:t xml:space="preserve"> VA Hospital Reports</w:t>
            </w:r>
            <w:r w:rsidR="00E4527A" w:rsidRPr="000010A7">
              <w:t xml:space="preserve"> That Are Insufficient for Rating Purposes</w:t>
            </w:r>
          </w:p>
        </w:tc>
        <w:tc>
          <w:tcPr>
            <w:tcW w:w="7740" w:type="dxa"/>
            <w:shd w:val="clear" w:color="auto" w:fill="auto"/>
          </w:tcPr>
          <w:p w14:paraId="61984902" w14:textId="73C62C2D" w:rsidR="00AD5525" w:rsidRPr="000010A7" w:rsidRDefault="00AD5525" w:rsidP="001B1806">
            <w:pPr>
              <w:pStyle w:val="BlockText"/>
            </w:pPr>
            <w:r w:rsidRPr="000010A7">
              <w:t xml:space="preserve">Request the original clinical records, including the nurses’ and doctors’ orders, if a VA report of hospitalization is </w:t>
            </w:r>
            <w:r w:rsidR="00CD750C" w:rsidRPr="000010A7">
              <w:t xml:space="preserve">insufficient </w:t>
            </w:r>
            <w:r w:rsidRPr="000010A7">
              <w:t>for rating purposes in cases involving either</w:t>
            </w:r>
          </w:p>
          <w:p w14:paraId="2A35C56B" w14:textId="77777777" w:rsidR="00AD5525" w:rsidRPr="000010A7" w:rsidRDefault="00AD5525" w:rsidP="001B1806">
            <w:pPr>
              <w:pStyle w:val="BlockText"/>
            </w:pPr>
          </w:p>
          <w:p w14:paraId="6BE35EBA" w14:textId="77777777" w:rsidR="00AD5525" w:rsidRPr="000010A7" w:rsidRDefault="00AD5525">
            <w:pPr>
              <w:pStyle w:val="BulletText1"/>
            </w:pPr>
            <w:r w:rsidRPr="000010A7">
              <w:t xml:space="preserve">injury, aggravation of injury, or death as the result of </w:t>
            </w:r>
          </w:p>
          <w:p w14:paraId="0CB60301" w14:textId="77777777" w:rsidR="00AD5525" w:rsidRPr="000010A7" w:rsidRDefault="00AD5525">
            <w:pPr>
              <w:pStyle w:val="BulletText2"/>
            </w:pPr>
            <w:r w:rsidRPr="000010A7">
              <w:t>hospitalization</w:t>
            </w:r>
          </w:p>
          <w:p w14:paraId="3D9DF363" w14:textId="77777777" w:rsidR="00AD5525" w:rsidRPr="000010A7" w:rsidRDefault="00AD5525">
            <w:pPr>
              <w:pStyle w:val="BulletText2"/>
            </w:pPr>
            <w:r w:rsidRPr="000010A7">
              <w:t>medical treatment</w:t>
            </w:r>
          </w:p>
          <w:p w14:paraId="6F8EF561" w14:textId="77777777" w:rsidR="00AD5525" w:rsidRPr="000010A7" w:rsidRDefault="00AD5525">
            <w:pPr>
              <w:pStyle w:val="BulletText2"/>
            </w:pPr>
            <w:r w:rsidRPr="000010A7">
              <w:t>surgical treatment, or</w:t>
            </w:r>
          </w:p>
          <w:p w14:paraId="5A6870F7" w14:textId="77777777" w:rsidR="00AD5525" w:rsidRPr="000010A7" w:rsidRDefault="00AD5525">
            <w:pPr>
              <w:pStyle w:val="BulletText2"/>
            </w:pPr>
            <w:r w:rsidRPr="000010A7">
              <w:t>examination, or</w:t>
            </w:r>
          </w:p>
          <w:p w14:paraId="73C28EC4" w14:textId="77777777" w:rsidR="00AD5525" w:rsidRPr="000010A7" w:rsidRDefault="00AD5525">
            <w:pPr>
              <w:pStyle w:val="BulletText1"/>
            </w:pPr>
            <w:r w:rsidRPr="000010A7">
              <w:t xml:space="preserve">the death of a </w:t>
            </w:r>
            <w:r w:rsidR="00865D9A" w:rsidRPr="000010A7">
              <w:t>Veteran</w:t>
            </w:r>
            <w:r w:rsidRPr="000010A7">
              <w:t xml:space="preserve"> from </w:t>
            </w:r>
            <w:r w:rsidR="00466693" w:rsidRPr="000010A7">
              <w:t>non-service-connected (</w:t>
            </w:r>
            <w:r w:rsidRPr="000010A7">
              <w:t>NSC</w:t>
            </w:r>
            <w:r w:rsidR="00466693" w:rsidRPr="000010A7">
              <w:t>)</w:t>
            </w:r>
            <w:r w:rsidRPr="000010A7">
              <w:t xml:space="preserve"> causes if </w:t>
            </w:r>
          </w:p>
          <w:p w14:paraId="09EBE9A5" w14:textId="1499AB1E" w:rsidR="00AD5525" w:rsidRPr="000010A7" w:rsidRDefault="00AD5525">
            <w:pPr>
              <w:pStyle w:val="BulletText2"/>
            </w:pPr>
            <w:r w:rsidRPr="000010A7">
              <w:t xml:space="preserve">the </w:t>
            </w:r>
            <w:r w:rsidR="00865D9A" w:rsidRPr="000010A7">
              <w:t>Veteran</w:t>
            </w:r>
            <w:r w:rsidRPr="000010A7">
              <w:t xml:space="preserve"> had an SC neuropsychiatric disability that reasonably may have impeded, obstructed, or otherwise interfered with the treatment of the condition that caused death, and</w:t>
            </w:r>
          </w:p>
          <w:p w14:paraId="3A6F1CC2" w14:textId="77777777" w:rsidR="00AD5525" w:rsidRPr="000010A7" w:rsidRDefault="00AD5525">
            <w:pPr>
              <w:pStyle w:val="BulletText2"/>
            </w:pPr>
            <w:proofErr w:type="gramStart"/>
            <w:r w:rsidRPr="000010A7">
              <w:t>the</w:t>
            </w:r>
            <w:proofErr w:type="gramEnd"/>
            <w:r w:rsidRPr="000010A7">
              <w:t xml:space="preserve"> hospital report does not clarify this issue.</w:t>
            </w:r>
          </w:p>
        </w:tc>
      </w:tr>
    </w:tbl>
    <w:p w14:paraId="7E6D16CB" w14:textId="77777777" w:rsidR="00AD5525" w:rsidRPr="000010A7" w:rsidRDefault="00AD5525">
      <w:pPr>
        <w:pStyle w:val="BlockLine"/>
      </w:pPr>
    </w:p>
    <w:tbl>
      <w:tblPr>
        <w:tblW w:w="0" w:type="auto"/>
        <w:tblLayout w:type="fixed"/>
        <w:tblLook w:val="0000" w:firstRow="0" w:lastRow="0" w:firstColumn="0" w:lastColumn="0" w:noHBand="0" w:noVBand="0"/>
      </w:tblPr>
      <w:tblGrid>
        <w:gridCol w:w="1728"/>
        <w:gridCol w:w="7740"/>
      </w:tblGrid>
      <w:tr w:rsidR="00AD5525" w:rsidRPr="000010A7" w14:paraId="531BD189" w14:textId="77777777" w:rsidTr="001B1806">
        <w:trPr>
          <w:cantSplit/>
        </w:trPr>
        <w:tc>
          <w:tcPr>
            <w:tcW w:w="1728" w:type="dxa"/>
            <w:shd w:val="clear" w:color="auto" w:fill="auto"/>
          </w:tcPr>
          <w:p w14:paraId="3A106BAC" w14:textId="34CEC8FA" w:rsidR="00AD5525" w:rsidRPr="000010A7" w:rsidRDefault="00AD5525" w:rsidP="004D40FC">
            <w:pPr>
              <w:pStyle w:val="Heading5"/>
            </w:pPr>
            <w:proofErr w:type="gramStart"/>
            <w:r w:rsidRPr="000010A7">
              <w:t>b.  Handling</w:t>
            </w:r>
            <w:proofErr w:type="gramEnd"/>
            <w:r w:rsidRPr="000010A7">
              <w:t xml:space="preserve"> Non-VA </w:t>
            </w:r>
            <w:smartTag w:uri="urn:schemas-microsoft-com:office:smarttags" w:element="PlaceType">
              <w:r w:rsidRPr="000010A7">
                <w:t>Hospital</w:t>
              </w:r>
            </w:smartTag>
            <w:r w:rsidRPr="000010A7">
              <w:t xml:space="preserve"> Reports</w:t>
            </w:r>
            <w:r w:rsidR="00E4527A" w:rsidRPr="000010A7">
              <w:t xml:space="preserve"> That Are Insufficient for Rating Purposes</w:t>
            </w:r>
          </w:p>
        </w:tc>
        <w:tc>
          <w:tcPr>
            <w:tcW w:w="7740" w:type="dxa"/>
            <w:shd w:val="clear" w:color="auto" w:fill="auto"/>
          </w:tcPr>
          <w:p w14:paraId="22FF7DFA" w14:textId="7C00E879" w:rsidR="00AD5525" w:rsidRPr="000010A7" w:rsidRDefault="00AD5525" w:rsidP="001B1806">
            <w:pPr>
              <w:pStyle w:val="BlockText"/>
            </w:pPr>
            <w:r w:rsidRPr="000010A7">
              <w:t xml:space="preserve">Request clarification of any hospital report that is </w:t>
            </w:r>
            <w:r w:rsidR="00CD750C" w:rsidRPr="000010A7">
              <w:t xml:space="preserve">insufficient </w:t>
            </w:r>
            <w:r w:rsidRPr="000010A7">
              <w:t xml:space="preserve">for rating purposes and is received from a </w:t>
            </w:r>
          </w:p>
          <w:p w14:paraId="3E90A727" w14:textId="77777777" w:rsidR="00AD5525" w:rsidRPr="000010A7" w:rsidRDefault="00AD5525" w:rsidP="001B1806">
            <w:pPr>
              <w:pStyle w:val="BlockText"/>
            </w:pPr>
          </w:p>
          <w:p w14:paraId="4E695A02" w14:textId="77777777" w:rsidR="00AD5525" w:rsidRPr="000010A7" w:rsidRDefault="00AD5525">
            <w:pPr>
              <w:pStyle w:val="BulletText1"/>
            </w:pPr>
            <w:r w:rsidRPr="000010A7">
              <w:t>State hospital</w:t>
            </w:r>
          </w:p>
          <w:p w14:paraId="3AAEEC92" w14:textId="77777777" w:rsidR="00AD5525" w:rsidRPr="000010A7" w:rsidRDefault="00AD5525">
            <w:pPr>
              <w:pStyle w:val="BulletText1"/>
            </w:pPr>
            <w:r w:rsidRPr="000010A7">
              <w:t>county hospital</w:t>
            </w:r>
          </w:p>
          <w:p w14:paraId="63B681D1" w14:textId="77777777" w:rsidR="00AD5525" w:rsidRPr="000010A7" w:rsidRDefault="00AD5525">
            <w:pPr>
              <w:pStyle w:val="BulletText1"/>
            </w:pPr>
            <w:r w:rsidRPr="000010A7">
              <w:t>municipal hospital</w:t>
            </w:r>
          </w:p>
          <w:p w14:paraId="6B9F1487" w14:textId="77777777" w:rsidR="00AD5525" w:rsidRPr="000010A7" w:rsidRDefault="00AD5525">
            <w:pPr>
              <w:pStyle w:val="BulletText1"/>
            </w:pPr>
            <w:r w:rsidRPr="000010A7">
              <w:t>contract hospital, or</w:t>
            </w:r>
          </w:p>
          <w:p w14:paraId="50E36492" w14:textId="77777777" w:rsidR="00AD5525" w:rsidRPr="000010A7" w:rsidRDefault="00AD5525">
            <w:pPr>
              <w:pStyle w:val="BulletText1"/>
            </w:pPr>
            <w:proofErr w:type="gramStart"/>
            <w:r w:rsidRPr="000010A7">
              <w:t>private</w:t>
            </w:r>
            <w:proofErr w:type="gramEnd"/>
            <w:r w:rsidRPr="000010A7">
              <w:t xml:space="preserve"> hospital.</w:t>
            </w:r>
          </w:p>
          <w:p w14:paraId="3E9613AD" w14:textId="77777777" w:rsidR="00AD5525" w:rsidRPr="000010A7" w:rsidRDefault="00AD5525" w:rsidP="001B1806">
            <w:pPr>
              <w:pStyle w:val="BlockText"/>
            </w:pPr>
          </w:p>
          <w:p w14:paraId="1E7D9723" w14:textId="77777777" w:rsidR="00AD5525" w:rsidRPr="000010A7" w:rsidRDefault="00AD5525" w:rsidP="001B1806">
            <w:pPr>
              <w:pStyle w:val="BlockText"/>
              <w:rPr>
                <w:b/>
              </w:rPr>
            </w:pPr>
            <w:r w:rsidRPr="000010A7">
              <w:rPr>
                <w:b/>
                <w:i/>
              </w:rPr>
              <w:t>Important</w:t>
            </w:r>
            <w:r w:rsidRPr="000010A7">
              <w:t>:  Authorize a VA examination if a satisfactory corrected report cannot be obtained within a reasonable period of time.</w:t>
            </w:r>
          </w:p>
        </w:tc>
      </w:tr>
    </w:tbl>
    <w:p w14:paraId="6D425AF8" w14:textId="77777777" w:rsidR="00AD5525" w:rsidRPr="000010A7" w:rsidRDefault="00AD5525">
      <w:pPr>
        <w:pStyle w:val="BlockLine"/>
      </w:pPr>
    </w:p>
    <w:tbl>
      <w:tblPr>
        <w:tblW w:w="0" w:type="auto"/>
        <w:tblLook w:val="04A0" w:firstRow="1" w:lastRow="0" w:firstColumn="1" w:lastColumn="0" w:noHBand="0" w:noVBand="1"/>
      </w:tblPr>
      <w:tblGrid>
        <w:gridCol w:w="1728"/>
        <w:gridCol w:w="7740"/>
      </w:tblGrid>
      <w:tr w:rsidR="00E4527A" w:rsidRPr="000010A7" w14:paraId="0D455F09" w14:textId="77777777" w:rsidTr="0040163C">
        <w:tc>
          <w:tcPr>
            <w:tcW w:w="1728" w:type="dxa"/>
            <w:shd w:val="clear" w:color="auto" w:fill="auto"/>
          </w:tcPr>
          <w:p w14:paraId="25A8D302" w14:textId="77777777" w:rsidR="00E4527A" w:rsidRPr="000010A7" w:rsidRDefault="00E4527A" w:rsidP="00E4527A">
            <w:pPr>
              <w:rPr>
                <w:b/>
                <w:sz w:val="22"/>
              </w:rPr>
            </w:pPr>
            <w:r w:rsidRPr="000010A7">
              <w:rPr>
                <w:b/>
                <w:sz w:val="22"/>
              </w:rPr>
              <w:t>c.  Requesting Clarification From Private Physicians</w:t>
            </w:r>
          </w:p>
        </w:tc>
        <w:tc>
          <w:tcPr>
            <w:tcW w:w="7740" w:type="dxa"/>
            <w:shd w:val="clear" w:color="auto" w:fill="auto"/>
          </w:tcPr>
          <w:p w14:paraId="58B3B164" w14:textId="77777777" w:rsidR="00E4527A" w:rsidRPr="000010A7" w:rsidRDefault="00E4527A" w:rsidP="00E4527A">
            <w:r w:rsidRPr="000010A7">
              <w:t xml:space="preserve">VA, pursuant to </w:t>
            </w:r>
            <w:hyperlink r:id="rId59" w:history="1">
              <w:r w:rsidRPr="000010A7">
                <w:rPr>
                  <w:rStyle w:val="Hyperlink"/>
                </w:rPr>
                <w:t>38 U.S.C. § 5103A(a),</w:t>
              </w:r>
            </w:hyperlink>
            <w:r w:rsidRPr="000010A7">
              <w:t xml:space="preserve"> has a duty to return for clarification unclear or insufficient private examination reports or VA progress notes if it reasonably appears that a request for clarification could provide relevant information necessary to properly decide a claim that is otherwise not in the record and cannot be obtained in some other way.  VA’s duty is limited to those instances in which the missing information is relevant, factual, and objective – not a matter of opinion – and bears greatly on the probative value of the private medical examination report.  </w:t>
            </w:r>
          </w:p>
          <w:p w14:paraId="00A935FA" w14:textId="77777777" w:rsidR="00E4527A" w:rsidRPr="000010A7" w:rsidRDefault="00E4527A" w:rsidP="00E4527A"/>
          <w:p w14:paraId="768879D4" w14:textId="77777777" w:rsidR="00E4527A" w:rsidRPr="000010A7" w:rsidRDefault="00E4527A" w:rsidP="00E4527A">
            <w:r w:rsidRPr="000010A7">
              <w:t>If a private</w:t>
            </w:r>
            <w:r w:rsidR="00BB7CC3" w:rsidRPr="000010A7">
              <w:t xml:space="preserve"> medical</w:t>
            </w:r>
            <w:r w:rsidRPr="000010A7">
              <w:t xml:space="preserve"> examination report reasonably appears to contain information necessary to properly decide a claim</w:t>
            </w:r>
            <w:r w:rsidR="00BB7CC3" w:rsidRPr="000010A7">
              <w:t xml:space="preserve">, but is unclear or </w:t>
            </w:r>
            <w:r w:rsidRPr="000010A7">
              <w:t>no</w:t>
            </w:r>
            <w:r w:rsidR="00BB7CC3" w:rsidRPr="000010A7">
              <w:t>t suitable for rating purposes</w:t>
            </w:r>
            <w:r w:rsidRPr="000010A7">
              <w:t xml:space="preserve"> and the information contained in the report otherwise cannot be obtained, VA has a duty to either  </w:t>
            </w:r>
          </w:p>
          <w:p w14:paraId="6CB6BB31" w14:textId="77777777" w:rsidR="00E4527A" w:rsidRPr="000010A7" w:rsidRDefault="00E4527A" w:rsidP="00E4527A"/>
          <w:p w14:paraId="393831E0" w14:textId="77777777" w:rsidR="00E4527A" w:rsidRPr="000010A7" w:rsidRDefault="00E4527A" w:rsidP="00C17F48">
            <w:pPr>
              <w:pStyle w:val="ListParagraph"/>
              <w:numPr>
                <w:ilvl w:val="0"/>
                <w:numId w:val="10"/>
              </w:numPr>
              <w:ind w:left="158" w:hanging="187"/>
            </w:pPr>
            <w:r w:rsidRPr="000010A7">
              <w:t>ask the private</w:t>
            </w:r>
            <w:r w:rsidR="00A70C14" w:rsidRPr="000010A7">
              <w:t xml:space="preserve"> examiner to clarify the report</w:t>
            </w:r>
          </w:p>
          <w:p w14:paraId="3BDE2795" w14:textId="77777777" w:rsidR="00E4527A" w:rsidRPr="000010A7" w:rsidRDefault="00E4527A" w:rsidP="00C17F48">
            <w:pPr>
              <w:pStyle w:val="ListParagraph"/>
              <w:numPr>
                <w:ilvl w:val="0"/>
                <w:numId w:val="10"/>
              </w:numPr>
              <w:ind w:left="158" w:hanging="187"/>
            </w:pPr>
            <w:r w:rsidRPr="000010A7">
              <w:t xml:space="preserve">request that the claimant obtain the necessary information to clarify the report, or </w:t>
            </w:r>
          </w:p>
          <w:p w14:paraId="54A1445D" w14:textId="77777777" w:rsidR="00E4527A" w:rsidRPr="000010A7" w:rsidRDefault="008A3D64" w:rsidP="00C17F48">
            <w:pPr>
              <w:pStyle w:val="ListParagraph"/>
              <w:numPr>
                <w:ilvl w:val="0"/>
                <w:numId w:val="10"/>
              </w:numPr>
              <w:ind w:left="158" w:hanging="187"/>
            </w:pPr>
            <w:proofErr w:type="gramStart"/>
            <w:r w:rsidRPr="000010A7">
              <w:t>explain</w:t>
            </w:r>
            <w:proofErr w:type="gramEnd"/>
            <w:r w:rsidRPr="000010A7">
              <w:t xml:space="preserve"> why clarification is not needed.  </w:t>
            </w:r>
          </w:p>
          <w:p w14:paraId="49C87754" w14:textId="77777777" w:rsidR="00E4527A" w:rsidRPr="000010A7" w:rsidRDefault="00E4527A" w:rsidP="0040163C">
            <w:pPr>
              <w:ind w:left="-29"/>
            </w:pPr>
          </w:p>
          <w:p w14:paraId="2A96BFA9" w14:textId="77777777" w:rsidR="00E4527A" w:rsidRPr="000010A7" w:rsidRDefault="00E4527A" w:rsidP="0040163C">
            <w:pPr>
              <w:ind w:left="-29"/>
            </w:pPr>
            <w:r w:rsidRPr="000010A7">
              <w:t xml:space="preserve">Any request for clarification to a private examiner or claimant should clearly indicate what further action needs to be taken to make the insufficient private examination report acceptable for VA consideration.  If no response is received from the private examiner or claimant, continue adjudicating the claim.  </w:t>
            </w:r>
          </w:p>
          <w:p w14:paraId="744390AE" w14:textId="77777777" w:rsidR="00E4527A" w:rsidRPr="000010A7" w:rsidRDefault="00E4527A" w:rsidP="0040163C">
            <w:pPr>
              <w:ind w:left="-29"/>
            </w:pPr>
          </w:p>
          <w:p w14:paraId="5F125EB1" w14:textId="77777777" w:rsidR="00E4527A" w:rsidRPr="000010A7" w:rsidRDefault="00E4527A" w:rsidP="0040163C">
            <w:pPr>
              <w:ind w:left="-29"/>
            </w:pPr>
            <w:r w:rsidRPr="000010A7">
              <w:rPr>
                <w:b/>
                <w:i/>
              </w:rPr>
              <w:t>References</w:t>
            </w:r>
            <w:r w:rsidRPr="000010A7">
              <w:t>:  For more information on</w:t>
            </w:r>
          </w:p>
          <w:p w14:paraId="5EC79353" w14:textId="77777777" w:rsidR="00A70C14" w:rsidRPr="000010A7" w:rsidRDefault="00E4527A" w:rsidP="00C17F48">
            <w:pPr>
              <w:pStyle w:val="ListParagraph"/>
              <w:numPr>
                <w:ilvl w:val="0"/>
                <w:numId w:val="11"/>
              </w:numPr>
              <w:ind w:left="158" w:hanging="187"/>
            </w:pPr>
            <w:r w:rsidRPr="000010A7">
              <w:t xml:space="preserve">requesting clarification of medical reports, see </w:t>
            </w:r>
          </w:p>
          <w:p w14:paraId="296BCDFE" w14:textId="77777777" w:rsidR="00A70C14" w:rsidRPr="000010A7" w:rsidRDefault="000010A7" w:rsidP="00C17F48">
            <w:pPr>
              <w:numPr>
                <w:ilvl w:val="0"/>
                <w:numId w:val="34"/>
              </w:numPr>
              <w:ind w:left="346" w:hanging="187"/>
            </w:pPr>
            <w:hyperlink r:id="rId60" w:history="1">
              <w:r w:rsidR="00E4527A" w:rsidRPr="000010A7">
                <w:rPr>
                  <w:rStyle w:val="Hyperlink"/>
                </w:rPr>
                <w:t>38 CFR 4.2</w:t>
              </w:r>
            </w:hyperlink>
            <w:r w:rsidR="00A70C14" w:rsidRPr="000010A7">
              <w:t>,</w:t>
            </w:r>
            <w:r w:rsidR="00E4527A" w:rsidRPr="000010A7">
              <w:t xml:space="preserve"> and </w:t>
            </w:r>
          </w:p>
          <w:p w14:paraId="27CA3FE6" w14:textId="77777777" w:rsidR="00E4527A" w:rsidRPr="000010A7" w:rsidRDefault="000010A7" w:rsidP="00C17F48">
            <w:pPr>
              <w:numPr>
                <w:ilvl w:val="0"/>
                <w:numId w:val="34"/>
              </w:numPr>
              <w:ind w:left="346" w:hanging="187"/>
            </w:pPr>
            <w:hyperlink r:id="rId61" w:anchor="bmr" w:history="1">
              <w:r w:rsidR="00E4527A" w:rsidRPr="000010A7">
                <w:rPr>
                  <w:rStyle w:val="Hyperlink"/>
                  <w:i/>
                </w:rPr>
                <w:t>Savage v.</w:t>
              </w:r>
              <w:r w:rsidR="00E4527A" w:rsidRPr="000010A7">
                <w:rPr>
                  <w:rStyle w:val="Hyperlink"/>
                </w:rPr>
                <w:t xml:space="preserve"> </w:t>
              </w:r>
              <w:r w:rsidR="00E4527A" w:rsidRPr="000010A7">
                <w:rPr>
                  <w:rStyle w:val="Hyperlink"/>
                  <w:i/>
                </w:rPr>
                <w:t>Shinseki</w:t>
              </w:r>
              <w:r w:rsidR="00E4527A" w:rsidRPr="000010A7">
                <w:rPr>
                  <w:rStyle w:val="Hyperlink"/>
                </w:rPr>
                <w:t>,</w:t>
              </w:r>
            </w:hyperlink>
            <w:r w:rsidR="00E4527A" w:rsidRPr="000010A7">
              <w:t xml:space="preserve"> </w:t>
            </w:r>
            <w:proofErr w:type="gramStart"/>
            <w:r w:rsidR="00E4527A" w:rsidRPr="000010A7">
              <w:t xml:space="preserve">24 </w:t>
            </w:r>
            <w:proofErr w:type="spellStart"/>
            <w:r w:rsidR="00E4527A" w:rsidRPr="000010A7">
              <w:t>Vet.App</w:t>
            </w:r>
            <w:proofErr w:type="spellEnd"/>
            <w:proofErr w:type="gramEnd"/>
            <w:r w:rsidR="00E4527A" w:rsidRPr="000010A7">
              <w:t>. 259 (2011), and</w:t>
            </w:r>
          </w:p>
          <w:p w14:paraId="15021DFE" w14:textId="77777777" w:rsidR="00E4527A" w:rsidRPr="000010A7" w:rsidRDefault="00E4527A" w:rsidP="00C17F48">
            <w:pPr>
              <w:numPr>
                <w:ilvl w:val="0"/>
                <w:numId w:val="35"/>
              </w:numPr>
              <w:ind w:left="158" w:hanging="187"/>
            </w:pPr>
            <w:proofErr w:type="gramStart"/>
            <w:r w:rsidRPr="000010A7">
              <w:t>requesting</w:t>
            </w:r>
            <w:proofErr w:type="gramEnd"/>
            <w:r w:rsidRPr="000010A7">
              <w:t xml:space="preserve"> non-Federal or private records, see</w:t>
            </w:r>
            <w:r w:rsidR="001468A5" w:rsidRPr="000010A7">
              <w:t xml:space="preserve"> M21-1, Part I, Subpart </w:t>
            </w:r>
            <w:proofErr w:type="spellStart"/>
            <w:r w:rsidR="001468A5" w:rsidRPr="000010A7">
              <w:t>i</w:t>
            </w:r>
            <w:proofErr w:type="spellEnd"/>
            <w:r w:rsidR="001468A5" w:rsidRPr="000010A7">
              <w:t>, C.2</w:t>
            </w:r>
            <w:r w:rsidRPr="000010A7">
              <w:t>.</w:t>
            </w:r>
          </w:p>
        </w:tc>
      </w:tr>
    </w:tbl>
    <w:p w14:paraId="395B93DE" w14:textId="77777777" w:rsidR="001468A5" w:rsidRPr="000010A7" w:rsidRDefault="001468A5" w:rsidP="001468A5">
      <w:pPr>
        <w:pStyle w:val="BlockLine"/>
      </w:pPr>
    </w:p>
    <w:p w14:paraId="09447CF3" w14:textId="49E35900" w:rsidR="00AD5525" w:rsidRPr="000010A7" w:rsidRDefault="00AD5525" w:rsidP="004D40FC">
      <w:pPr>
        <w:pStyle w:val="Heading4"/>
      </w:pPr>
      <w:r w:rsidRPr="000010A7">
        <w:br w:type="page"/>
      </w:r>
      <w:r w:rsidR="001468A5" w:rsidRPr="000010A7">
        <w:t>5</w:t>
      </w:r>
      <w:r w:rsidRPr="000010A7">
        <w:t>.  Reviewing Testimony</w:t>
      </w:r>
    </w:p>
    <w:p w14:paraId="237A2CD4" w14:textId="77777777" w:rsidR="00AD5525" w:rsidRPr="000010A7" w:rsidRDefault="00AD5525">
      <w:pPr>
        <w:pStyle w:val="BlockLine"/>
      </w:pPr>
    </w:p>
    <w:tbl>
      <w:tblPr>
        <w:tblW w:w="0" w:type="auto"/>
        <w:tblLayout w:type="fixed"/>
        <w:tblLook w:val="0000" w:firstRow="0" w:lastRow="0" w:firstColumn="0" w:lastColumn="0" w:noHBand="0" w:noVBand="0"/>
      </w:tblPr>
      <w:tblGrid>
        <w:gridCol w:w="1728"/>
        <w:gridCol w:w="7740"/>
      </w:tblGrid>
      <w:tr w:rsidR="00AD5525" w:rsidRPr="000010A7" w14:paraId="068EFC44" w14:textId="77777777" w:rsidTr="001B1806">
        <w:trPr>
          <w:cantSplit/>
        </w:trPr>
        <w:tc>
          <w:tcPr>
            <w:tcW w:w="1728" w:type="dxa"/>
            <w:shd w:val="clear" w:color="auto" w:fill="auto"/>
          </w:tcPr>
          <w:p w14:paraId="21167D7C" w14:textId="77777777" w:rsidR="00AD5525" w:rsidRPr="000010A7" w:rsidRDefault="00AD5525">
            <w:pPr>
              <w:pStyle w:val="Heading5"/>
            </w:pPr>
            <w:r w:rsidRPr="000010A7">
              <w:t>Introduction</w:t>
            </w:r>
          </w:p>
        </w:tc>
        <w:tc>
          <w:tcPr>
            <w:tcW w:w="7740" w:type="dxa"/>
            <w:shd w:val="clear" w:color="auto" w:fill="auto"/>
          </w:tcPr>
          <w:p w14:paraId="76D8C7EC" w14:textId="77777777" w:rsidR="00AD5525" w:rsidRPr="000010A7" w:rsidRDefault="00AD5525" w:rsidP="001B1806">
            <w:pPr>
              <w:pStyle w:val="BlockText"/>
            </w:pPr>
            <w:r w:rsidRPr="000010A7">
              <w:t>This topic contains information on reviewing testimony, including</w:t>
            </w:r>
          </w:p>
          <w:p w14:paraId="757AACAE" w14:textId="77777777" w:rsidR="00AD5525" w:rsidRPr="000010A7" w:rsidRDefault="00AD5525" w:rsidP="001B1806">
            <w:pPr>
              <w:pStyle w:val="BlockText"/>
            </w:pPr>
          </w:p>
          <w:p w14:paraId="7E3F8A77" w14:textId="77777777" w:rsidR="00AD5525" w:rsidRPr="000010A7" w:rsidRDefault="00AD5525">
            <w:pPr>
              <w:pStyle w:val="BulletText1"/>
            </w:pPr>
            <w:r w:rsidRPr="000010A7">
              <w:t>using testimony</w:t>
            </w:r>
            <w:r w:rsidR="003D0A79" w:rsidRPr="000010A7">
              <w:t xml:space="preserve"> as proper evidence</w:t>
            </w:r>
            <w:r w:rsidRPr="000010A7">
              <w:t>, and</w:t>
            </w:r>
          </w:p>
          <w:p w14:paraId="66AFEFCA" w14:textId="77777777" w:rsidR="00AD5525" w:rsidRPr="000010A7" w:rsidRDefault="00AD5525">
            <w:pPr>
              <w:pStyle w:val="BulletText1"/>
            </w:pPr>
            <w:proofErr w:type="gramStart"/>
            <w:r w:rsidRPr="000010A7">
              <w:t>handling</w:t>
            </w:r>
            <w:proofErr w:type="gramEnd"/>
            <w:r w:rsidRPr="000010A7">
              <w:t xml:space="preserve"> unsworn or uncertified testimony.</w:t>
            </w:r>
          </w:p>
        </w:tc>
      </w:tr>
    </w:tbl>
    <w:p w14:paraId="3670750D" w14:textId="77777777" w:rsidR="00AD5525" w:rsidRPr="000010A7" w:rsidRDefault="00AD5525">
      <w:pPr>
        <w:pStyle w:val="BlockLine"/>
      </w:pPr>
    </w:p>
    <w:tbl>
      <w:tblPr>
        <w:tblW w:w="0" w:type="auto"/>
        <w:tblLayout w:type="fixed"/>
        <w:tblLook w:val="0000" w:firstRow="0" w:lastRow="0" w:firstColumn="0" w:lastColumn="0" w:noHBand="0" w:noVBand="0"/>
      </w:tblPr>
      <w:tblGrid>
        <w:gridCol w:w="1728"/>
        <w:gridCol w:w="7740"/>
      </w:tblGrid>
      <w:tr w:rsidR="00AD5525" w:rsidRPr="000010A7" w14:paraId="324DB9AE" w14:textId="77777777" w:rsidTr="001B1806">
        <w:trPr>
          <w:cantSplit/>
        </w:trPr>
        <w:tc>
          <w:tcPr>
            <w:tcW w:w="1728" w:type="dxa"/>
            <w:shd w:val="clear" w:color="auto" w:fill="auto"/>
          </w:tcPr>
          <w:p w14:paraId="13473DFB" w14:textId="77777777" w:rsidR="00AD5525" w:rsidRPr="000010A7" w:rsidRDefault="00AD5525">
            <w:pPr>
              <w:pStyle w:val="Heading5"/>
            </w:pPr>
            <w:r w:rsidRPr="000010A7">
              <w:t>Change Date</w:t>
            </w:r>
          </w:p>
        </w:tc>
        <w:tc>
          <w:tcPr>
            <w:tcW w:w="7740" w:type="dxa"/>
            <w:shd w:val="clear" w:color="auto" w:fill="auto"/>
          </w:tcPr>
          <w:p w14:paraId="2F2179E3" w14:textId="77777777" w:rsidR="00AD5525" w:rsidRPr="000010A7" w:rsidRDefault="00AD5525" w:rsidP="001B1806">
            <w:pPr>
              <w:pStyle w:val="BlockText"/>
            </w:pPr>
            <w:r w:rsidRPr="000010A7">
              <w:t>December 13, 2005</w:t>
            </w:r>
          </w:p>
        </w:tc>
      </w:tr>
    </w:tbl>
    <w:p w14:paraId="6AD9153C" w14:textId="77777777" w:rsidR="00AD5525" w:rsidRPr="000010A7" w:rsidRDefault="00AD5525">
      <w:pPr>
        <w:pStyle w:val="BlockLine"/>
      </w:pPr>
    </w:p>
    <w:tbl>
      <w:tblPr>
        <w:tblW w:w="0" w:type="auto"/>
        <w:tblLayout w:type="fixed"/>
        <w:tblLook w:val="0000" w:firstRow="0" w:lastRow="0" w:firstColumn="0" w:lastColumn="0" w:noHBand="0" w:noVBand="0"/>
      </w:tblPr>
      <w:tblGrid>
        <w:gridCol w:w="1728"/>
        <w:gridCol w:w="7740"/>
      </w:tblGrid>
      <w:tr w:rsidR="00AD5525" w:rsidRPr="000010A7" w14:paraId="5635A63D" w14:textId="77777777" w:rsidTr="001B1806">
        <w:trPr>
          <w:cantSplit/>
        </w:trPr>
        <w:tc>
          <w:tcPr>
            <w:tcW w:w="1728" w:type="dxa"/>
            <w:shd w:val="clear" w:color="auto" w:fill="auto"/>
          </w:tcPr>
          <w:p w14:paraId="25109483" w14:textId="77777777" w:rsidR="00AD5525" w:rsidRPr="000010A7" w:rsidRDefault="00AD5525">
            <w:pPr>
              <w:pStyle w:val="Heading5"/>
            </w:pPr>
            <w:proofErr w:type="gramStart"/>
            <w:r w:rsidRPr="000010A7">
              <w:t>a.  Using</w:t>
            </w:r>
            <w:proofErr w:type="gramEnd"/>
            <w:r w:rsidRPr="000010A7">
              <w:t xml:space="preserve"> Testimony</w:t>
            </w:r>
            <w:r w:rsidR="003D0A79" w:rsidRPr="000010A7">
              <w:t xml:space="preserve"> as Proper Evidence</w:t>
            </w:r>
          </w:p>
        </w:tc>
        <w:tc>
          <w:tcPr>
            <w:tcW w:w="7740" w:type="dxa"/>
            <w:shd w:val="clear" w:color="auto" w:fill="auto"/>
          </w:tcPr>
          <w:p w14:paraId="081E26DB" w14:textId="77777777" w:rsidR="00AD5525" w:rsidRPr="000010A7" w:rsidRDefault="00AD5525" w:rsidP="001B1806">
            <w:pPr>
              <w:pStyle w:val="BlockText"/>
            </w:pPr>
            <w:r w:rsidRPr="000010A7">
              <w:t>To be admitted as proper evidence, certain types of testimony must be sworn under oath or properly certified.</w:t>
            </w:r>
          </w:p>
          <w:p w14:paraId="07C55B0E" w14:textId="77777777" w:rsidR="00AD5525" w:rsidRPr="000010A7" w:rsidRDefault="00AD5525" w:rsidP="001B1806">
            <w:pPr>
              <w:pStyle w:val="BlockText"/>
            </w:pPr>
          </w:p>
          <w:p w14:paraId="3942E41B" w14:textId="77777777" w:rsidR="00AD5525" w:rsidRPr="000010A7" w:rsidRDefault="00AD5525" w:rsidP="001B1806">
            <w:pPr>
              <w:pStyle w:val="BlockText"/>
              <w:rPr>
                <w:b/>
              </w:rPr>
            </w:pPr>
            <w:r w:rsidRPr="000010A7">
              <w:rPr>
                <w:b/>
                <w:i/>
              </w:rPr>
              <w:t>Examples</w:t>
            </w:r>
            <w:r w:rsidRPr="000010A7">
              <w:t>:  Evidence from court proceedings, depositions, and so on.</w:t>
            </w:r>
          </w:p>
        </w:tc>
      </w:tr>
    </w:tbl>
    <w:p w14:paraId="63376878" w14:textId="77777777" w:rsidR="00AD5525" w:rsidRPr="000010A7" w:rsidRDefault="00AD5525">
      <w:pPr>
        <w:pStyle w:val="BlockLine"/>
      </w:pPr>
    </w:p>
    <w:tbl>
      <w:tblPr>
        <w:tblW w:w="0" w:type="auto"/>
        <w:tblLayout w:type="fixed"/>
        <w:tblLook w:val="0000" w:firstRow="0" w:lastRow="0" w:firstColumn="0" w:lastColumn="0" w:noHBand="0" w:noVBand="0"/>
      </w:tblPr>
      <w:tblGrid>
        <w:gridCol w:w="1728"/>
        <w:gridCol w:w="7740"/>
      </w:tblGrid>
      <w:tr w:rsidR="00AD5525" w:rsidRPr="000010A7" w14:paraId="71757A48" w14:textId="77777777" w:rsidTr="001B1806">
        <w:trPr>
          <w:cantSplit/>
        </w:trPr>
        <w:tc>
          <w:tcPr>
            <w:tcW w:w="1728" w:type="dxa"/>
            <w:shd w:val="clear" w:color="auto" w:fill="auto"/>
          </w:tcPr>
          <w:p w14:paraId="5FAFBC87" w14:textId="77777777" w:rsidR="00AD5525" w:rsidRPr="000010A7" w:rsidRDefault="00AD5525">
            <w:pPr>
              <w:pStyle w:val="Heading5"/>
            </w:pPr>
            <w:proofErr w:type="gramStart"/>
            <w:r w:rsidRPr="000010A7">
              <w:t>b.  Handling</w:t>
            </w:r>
            <w:proofErr w:type="gramEnd"/>
            <w:r w:rsidRPr="000010A7">
              <w:t xml:space="preserve"> Unsworn or Uncertified Testimony</w:t>
            </w:r>
          </w:p>
        </w:tc>
        <w:tc>
          <w:tcPr>
            <w:tcW w:w="7740" w:type="dxa"/>
            <w:shd w:val="clear" w:color="auto" w:fill="auto"/>
          </w:tcPr>
          <w:p w14:paraId="73E06753" w14:textId="77777777" w:rsidR="00AD5525" w:rsidRPr="000010A7" w:rsidRDefault="00AD5525" w:rsidP="001B1806">
            <w:pPr>
              <w:pStyle w:val="BlockText"/>
            </w:pPr>
            <w:r w:rsidRPr="000010A7">
              <w:t>Make an exact copy of unsworn or uncertified testimony and return the original copy for notarization or certification to the</w:t>
            </w:r>
          </w:p>
          <w:p w14:paraId="02E8C4A8" w14:textId="77777777" w:rsidR="00AD5525" w:rsidRPr="000010A7" w:rsidRDefault="00AD5525" w:rsidP="001B1806">
            <w:pPr>
              <w:pStyle w:val="BlockText"/>
            </w:pPr>
          </w:p>
          <w:p w14:paraId="36CD0AEB" w14:textId="77777777" w:rsidR="00AD5525" w:rsidRPr="000010A7" w:rsidRDefault="00AD5525">
            <w:pPr>
              <w:pStyle w:val="BulletText1"/>
            </w:pPr>
            <w:r w:rsidRPr="000010A7">
              <w:t>claimant</w:t>
            </w:r>
          </w:p>
          <w:p w14:paraId="7328A174" w14:textId="77777777" w:rsidR="00AD5525" w:rsidRPr="000010A7" w:rsidRDefault="00AD5525">
            <w:pPr>
              <w:pStyle w:val="BulletText1"/>
            </w:pPr>
            <w:r w:rsidRPr="000010A7">
              <w:t>representative, or</w:t>
            </w:r>
          </w:p>
          <w:p w14:paraId="78C6C5F0" w14:textId="77777777" w:rsidR="00AD5525" w:rsidRPr="000010A7" w:rsidRDefault="00AD5525">
            <w:pPr>
              <w:pStyle w:val="BulletText1"/>
            </w:pPr>
            <w:proofErr w:type="gramStart"/>
            <w:r w:rsidRPr="000010A7">
              <w:t>person</w:t>
            </w:r>
            <w:proofErr w:type="gramEnd"/>
            <w:r w:rsidRPr="000010A7">
              <w:t xml:space="preserve"> testifying.</w:t>
            </w:r>
          </w:p>
          <w:p w14:paraId="7CA4907B" w14:textId="77777777" w:rsidR="00AD5525" w:rsidRPr="000010A7" w:rsidRDefault="00AD5525" w:rsidP="001B1806">
            <w:pPr>
              <w:pStyle w:val="BlockText"/>
            </w:pPr>
          </w:p>
          <w:p w14:paraId="5047A81B" w14:textId="77777777" w:rsidR="00AD5525" w:rsidRPr="000010A7" w:rsidRDefault="00AD5525" w:rsidP="001B1806">
            <w:pPr>
              <w:pStyle w:val="BlockText"/>
            </w:pPr>
            <w:r w:rsidRPr="000010A7">
              <w:rPr>
                <w:b/>
                <w:bCs/>
                <w:i/>
                <w:iCs/>
              </w:rPr>
              <w:t>Note</w:t>
            </w:r>
            <w:r w:rsidRPr="000010A7">
              <w:t>:  Return unsworn or uncertified testimony only if the RVSR or Decision Review Officer (DRO) considers the evidence material to a favorable determination of a claim.</w:t>
            </w:r>
          </w:p>
          <w:p w14:paraId="68090386" w14:textId="77777777" w:rsidR="00AD5525" w:rsidRPr="000010A7" w:rsidRDefault="00AD5525" w:rsidP="001B1806">
            <w:pPr>
              <w:pStyle w:val="BlockText"/>
            </w:pPr>
          </w:p>
          <w:p w14:paraId="3CD92537" w14:textId="77777777" w:rsidR="00AD5525" w:rsidRPr="000010A7" w:rsidRDefault="00AD5525" w:rsidP="001B1806">
            <w:pPr>
              <w:pStyle w:val="BlockText"/>
            </w:pPr>
            <w:r w:rsidRPr="000010A7">
              <w:rPr>
                <w:b/>
                <w:i/>
              </w:rPr>
              <w:t>Reference</w:t>
            </w:r>
            <w:r w:rsidRPr="000010A7">
              <w:t>:  For more information on certifying testimony, see M21-1, Part III, Subpart iii, 1.B.8.</w:t>
            </w:r>
          </w:p>
        </w:tc>
      </w:tr>
    </w:tbl>
    <w:p w14:paraId="42E10B0D" w14:textId="77777777" w:rsidR="00AD5525" w:rsidRPr="000010A7" w:rsidRDefault="00AD5525">
      <w:pPr>
        <w:pStyle w:val="BlockLine"/>
      </w:pPr>
    </w:p>
    <w:p w14:paraId="4E71C4F8" w14:textId="31DA3655" w:rsidR="00AD5525" w:rsidRPr="000010A7" w:rsidRDefault="00AD5525">
      <w:pPr>
        <w:pStyle w:val="Heading4"/>
      </w:pPr>
      <w:r w:rsidRPr="000010A7">
        <w:br w:type="page"/>
      </w:r>
      <w:r w:rsidR="00B0643C" w:rsidRPr="000010A7">
        <w:t>6</w:t>
      </w:r>
      <w:r w:rsidRPr="000010A7">
        <w:t>.  Lay Evidence</w:t>
      </w:r>
    </w:p>
    <w:p w14:paraId="7D9E305D" w14:textId="77777777" w:rsidR="00AD5525" w:rsidRPr="000010A7" w:rsidRDefault="00AD5525">
      <w:pPr>
        <w:pStyle w:val="BlockLine"/>
      </w:pPr>
    </w:p>
    <w:tbl>
      <w:tblPr>
        <w:tblW w:w="0" w:type="auto"/>
        <w:tblLayout w:type="fixed"/>
        <w:tblLook w:val="0000" w:firstRow="0" w:lastRow="0" w:firstColumn="0" w:lastColumn="0" w:noHBand="0" w:noVBand="0"/>
      </w:tblPr>
      <w:tblGrid>
        <w:gridCol w:w="1728"/>
        <w:gridCol w:w="7740"/>
      </w:tblGrid>
      <w:tr w:rsidR="00AD5525" w:rsidRPr="000010A7" w14:paraId="7854B65A" w14:textId="77777777" w:rsidTr="001B1806">
        <w:trPr>
          <w:cantSplit/>
        </w:trPr>
        <w:tc>
          <w:tcPr>
            <w:tcW w:w="1728" w:type="dxa"/>
            <w:shd w:val="clear" w:color="auto" w:fill="auto"/>
          </w:tcPr>
          <w:p w14:paraId="38B24A8F" w14:textId="77777777" w:rsidR="00AD5525" w:rsidRPr="000010A7" w:rsidRDefault="00AD5525">
            <w:pPr>
              <w:pStyle w:val="Heading5"/>
            </w:pPr>
            <w:r w:rsidRPr="000010A7">
              <w:t>Introduction</w:t>
            </w:r>
          </w:p>
        </w:tc>
        <w:tc>
          <w:tcPr>
            <w:tcW w:w="7740" w:type="dxa"/>
            <w:shd w:val="clear" w:color="auto" w:fill="auto"/>
          </w:tcPr>
          <w:p w14:paraId="2AE323A5" w14:textId="77777777" w:rsidR="00AD5525" w:rsidRPr="000010A7" w:rsidRDefault="00AD5525" w:rsidP="001B1806">
            <w:pPr>
              <w:pStyle w:val="BlockText"/>
            </w:pPr>
            <w:r w:rsidRPr="000010A7">
              <w:t>This topic contains information about lay evidence, including</w:t>
            </w:r>
          </w:p>
          <w:p w14:paraId="66DB46A8" w14:textId="77777777" w:rsidR="00AD5525" w:rsidRPr="000010A7" w:rsidRDefault="00AD5525" w:rsidP="001B1806">
            <w:pPr>
              <w:pStyle w:val="BlockText"/>
            </w:pPr>
          </w:p>
          <w:p w14:paraId="05329372" w14:textId="77777777" w:rsidR="00AD5525" w:rsidRPr="000010A7" w:rsidRDefault="00AD5525">
            <w:pPr>
              <w:pStyle w:val="BulletText1"/>
            </w:pPr>
            <w:r w:rsidRPr="000010A7">
              <w:t>acceptable lay evidence, and</w:t>
            </w:r>
          </w:p>
          <w:p w14:paraId="004F2BEC" w14:textId="77777777" w:rsidR="00AD5525" w:rsidRPr="000010A7" w:rsidRDefault="00AD5525">
            <w:pPr>
              <w:pStyle w:val="BulletText1"/>
            </w:pPr>
            <w:proofErr w:type="gramStart"/>
            <w:r w:rsidRPr="000010A7">
              <w:t>when</w:t>
            </w:r>
            <w:proofErr w:type="gramEnd"/>
            <w:r w:rsidRPr="000010A7">
              <w:t xml:space="preserve"> to use lay evidence.</w:t>
            </w:r>
          </w:p>
        </w:tc>
      </w:tr>
    </w:tbl>
    <w:p w14:paraId="64E48EAF" w14:textId="77777777" w:rsidR="00AD5525" w:rsidRPr="000010A7" w:rsidRDefault="00AD5525">
      <w:pPr>
        <w:pStyle w:val="BlockLine"/>
      </w:pPr>
    </w:p>
    <w:tbl>
      <w:tblPr>
        <w:tblW w:w="0" w:type="auto"/>
        <w:tblLayout w:type="fixed"/>
        <w:tblLook w:val="0000" w:firstRow="0" w:lastRow="0" w:firstColumn="0" w:lastColumn="0" w:noHBand="0" w:noVBand="0"/>
      </w:tblPr>
      <w:tblGrid>
        <w:gridCol w:w="1728"/>
        <w:gridCol w:w="7740"/>
      </w:tblGrid>
      <w:tr w:rsidR="00AD5525" w:rsidRPr="000010A7" w14:paraId="76724C0C" w14:textId="77777777" w:rsidTr="001B1806">
        <w:trPr>
          <w:cantSplit/>
        </w:trPr>
        <w:tc>
          <w:tcPr>
            <w:tcW w:w="1728" w:type="dxa"/>
            <w:shd w:val="clear" w:color="auto" w:fill="auto"/>
          </w:tcPr>
          <w:p w14:paraId="2F42BEB2" w14:textId="77777777" w:rsidR="00AD5525" w:rsidRPr="000010A7" w:rsidRDefault="00AD5525">
            <w:pPr>
              <w:pStyle w:val="Heading5"/>
            </w:pPr>
            <w:r w:rsidRPr="000010A7">
              <w:t>Change Date</w:t>
            </w:r>
          </w:p>
        </w:tc>
        <w:tc>
          <w:tcPr>
            <w:tcW w:w="7740" w:type="dxa"/>
            <w:shd w:val="clear" w:color="auto" w:fill="auto"/>
          </w:tcPr>
          <w:p w14:paraId="2E9A7474" w14:textId="47ED775E" w:rsidR="00AD5525" w:rsidRPr="000010A7" w:rsidRDefault="00A53011" w:rsidP="001B1806">
            <w:pPr>
              <w:pStyle w:val="BlockText"/>
            </w:pPr>
            <w:r w:rsidRPr="000010A7">
              <w:t>July 15, 2015</w:t>
            </w:r>
          </w:p>
        </w:tc>
      </w:tr>
    </w:tbl>
    <w:p w14:paraId="19DC5442" w14:textId="77777777" w:rsidR="00AD5525" w:rsidRPr="000010A7" w:rsidRDefault="00AD5525">
      <w:pPr>
        <w:pStyle w:val="BlockLine"/>
      </w:pPr>
    </w:p>
    <w:tbl>
      <w:tblPr>
        <w:tblW w:w="0" w:type="auto"/>
        <w:tblLayout w:type="fixed"/>
        <w:tblLook w:val="0000" w:firstRow="0" w:lastRow="0" w:firstColumn="0" w:lastColumn="0" w:noHBand="0" w:noVBand="0"/>
      </w:tblPr>
      <w:tblGrid>
        <w:gridCol w:w="1728"/>
        <w:gridCol w:w="7740"/>
      </w:tblGrid>
      <w:tr w:rsidR="00AD5525" w:rsidRPr="000010A7" w14:paraId="3B3F1FCE" w14:textId="77777777" w:rsidTr="001B1806">
        <w:trPr>
          <w:cantSplit/>
        </w:trPr>
        <w:tc>
          <w:tcPr>
            <w:tcW w:w="1728" w:type="dxa"/>
            <w:shd w:val="clear" w:color="auto" w:fill="auto"/>
          </w:tcPr>
          <w:p w14:paraId="34993108" w14:textId="77777777" w:rsidR="00AD5525" w:rsidRPr="000010A7" w:rsidRDefault="00AD5525">
            <w:pPr>
              <w:pStyle w:val="Heading5"/>
            </w:pPr>
            <w:proofErr w:type="gramStart"/>
            <w:r w:rsidRPr="000010A7">
              <w:t>a.  Acceptable</w:t>
            </w:r>
            <w:proofErr w:type="gramEnd"/>
            <w:r w:rsidRPr="000010A7">
              <w:t xml:space="preserve"> Lay Evidence</w:t>
            </w:r>
          </w:p>
        </w:tc>
        <w:tc>
          <w:tcPr>
            <w:tcW w:w="7740" w:type="dxa"/>
            <w:shd w:val="clear" w:color="auto" w:fill="auto"/>
          </w:tcPr>
          <w:p w14:paraId="73FADD90" w14:textId="1B6332D9" w:rsidR="00AD5525" w:rsidRPr="000010A7" w:rsidRDefault="00AD5525" w:rsidP="001B1806">
            <w:pPr>
              <w:pStyle w:val="BlockText"/>
            </w:pPr>
            <w:r w:rsidRPr="000010A7">
              <w:t>Lay evidence is acceptable for the purpose of establishing service incurrence or aggravation, in the absenc</w:t>
            </w:r>
            <w:r w:rsidR="00CE78C5" w:rsidRPr="000010A7">
              <w:t xml:space="preserve">e of STRs, for a combat </w:t>
            </w:r>
            <w:r w:rsidR="00865D9A" w:rsidRPr="000010A7">
              <w:t>Veteran</w:t>
            </w:r>
            <w:r w:rsidR="00CE78C5" w:rsidRPr="000010A7">
              <w:t xml:space="preserve"> or </w:t>
            </w:r>
            <w:r w:rsidR="00AB4907" w:rsidRPr="000010A7">
              <w:t>F</w:t>
            </w:r>
            <w:r w:rsidRPr="000010A7">
              <w:t xml:space="preserve">POW, if the evidence </w:t>
            </w:r>
          </w:p>
          <w:p w14:paraId="7A12DF76" w14:textId="77777777" w:rsidR="00AD5525" w:rsidRPr="000010A7" w:rsidRDefault="00AD5525" w:rsidP="001B1806">
            <w:pPr>
              <w:pStyle w:val="BlockText"/>
            </w:pPr>
          </w:p>
          <w:p w14:paraId="41139F56" w14:textId="77777777" w:rsidR="00AD5525" w:rsidRPr="000010A7" w:rsidRDefault="00AD5525">
            <w:pPr>
              <w:pStyle w:val="BulletText1"/>
            </w:pPr>
            <w:r w:rsidRPr="000010A7">
              <w:t>is satisfactory</w:t>
            </w:r>
          </w:p>
          <w:p w14:paraId="28D48E9E" w14:textId="77777777" w:rsidR="00AD5525" w:rsidRPr="000010A7" w:rsidRDefault="00AD5525">
            <w:pPr>
              <w:pStyle w:val="BulletText1"/>
            </w:pPr>
            <w:r w:rsidRPr="000010A7">
              <w:t xml:space="preserve">is consistent with the circumstances, conditions, or hardships of combat or </w:t>
            </w:r>
            <w:r w:rsidR="00AB4907" w:rsidRPr="000010A7">
              <w:t>F</w:t>
            </w:r>
            <w:r w:rsidRPr="000010A7">
              <w:t>POW internment, and</w:t>
            </w:r>
          </w:p>
          <w:p w14:paraId="7D701E35" w14:textId="77777777" w:rsidR="00AD5525" w:rsidRPr="000010A7" w:rsidRDefault="00AD5525">
            <w:pPr>
              <w:pStyle w:val="BulletText1"/>
            </w:pPr>
            <w:proofErr w:type="gramStart"/>
            <w:r w:rsidRPr="000010A7">
              <w:t>can</w:t>
            </w:r>
            <w:proofErr w:type="gramEnd"/>
            <w:r w:rsidRPr="000010A7">
              <w:t xml:space="preserve"> prevail in spite of the absence of official records showing incurrence or aggravation of the disease or injury during service.</w:t>
            </w:r>
          </w:p>
          <w:p w14:paraId="5143DD26" w14:textId="77777777" w:rsidR="00AD5525" w:rsidRPr="000010A7" w:rsidRDefault="00AD5525" w:rsidP="001B1806">
            <w:pPr>
              <w:pStyle w:val="BlockText"/>
            </w:pPr>
          </w:p>
          <w:p w14:paraId="3387EB6C" w14:textId="21812E20" w:rsidR="00AD5525" w:rsidRPr="000010A7" w:rsidRDefault="00AD5525" w:rsidP="001B1806">
            <w:pPr>
              <w:pStyle w:val="BlockText"/>
            </w:pPr>
            <w:r w:rsidRPr="000010A7">
              <w:rPr>
                <w:b/>
                <w:i/>
              </w:rPr>
              <w:t>Important</w:t>
            </w:r>
            <w:r w:rsidRPr="000010A7">
              <w:t>:  Medical evidence of a link to a current condition is still needed to establish service</w:t>
            </w:r>
            <w:r w:rsidR="003C3126" w:rsidRPr="000010A7">
              <w:t xml:space="preserve"> connection</w:t>
            </w:r>
            <w:r w:rsidRPr="000010A7">
              <w:t>.</w:t>
            </w:r>
          </w:p>
          <w:p w14:paraId="005F684D" w14:textId="77777777" w:rsidR="001368C9" w:rsidRPr="000010A7" w:rsidRDefault="001368C9" w:rsidP="001B1806">
            <w:pPr>
              <w:pStyle w:val="BlockText"/>
            </w:pPr>
          </w:p>
          <w:p w14:paraId="6731122F" w14:textId="77777777" w:rsidR="001368C9" w:rsidRPr="000010A7" w:rsidRDefault="001368C9" w:rsidP="001368C9">
            <w:pPr>
              <w:pStyle w:val="BlockText"/>
            </w:pPr>
            <w:proofErr w:type="gramStart"/>
            <w:r w:rsidRPr="000010A7">
              <w:t>A non-combat Veteran’s lay statements</w:t>
            </w:r>
            <w:proofErr w:type="gramEnd"/>
            <w:r w:rsidR="00E4527A" w:rsidRPr="000010A7">
              <w:t xml:space="preserve"> may be acceptable for establishing service incurrence or aggravation</w:t>
            </w:r>
            <w:r w:rsidR="00AB4907" w:rsidRPr="000010A7">
              <w:t>,</w:t>
            </w:r>
            <w:r w:rsidR="00E4527A" w:rsidRPr="000010A7">
              <w:t xml:space="preserve"> but</w:t>
            </w:r>
            <w:r w:rsidRPr="000010A7">
              <w:t xml:space="preserve"> must be weighed against other evidence in the claims folder, including the absence of military records documenting or supporting the statements. </w:t>
            </w:r>
          </w:p>
          <w:p w14:paraId="60938877" w14:textId="77777777" w:rsidR="001368C9" w:rsidRPr="000010A7" w:rsidRDefault="001368C9" w:rsidP="001368C9">
            <w:pPr>
              <w:pStyle w:val="BlockText"/>
            </w:pPr>
          </w:p>
          <w:p w14:paraId="16E71AF8" w14:textId="73D358B0" w:rsidR="001368C9" w:rsidRPr="000010A7" w:rsidRDefault="001368C9" w:rsidP="001368C9">
            <w:pPr>
              <w:pStyle w:val="BlockText"/>
            </w:pPr>
            <w:r w:rsidRPr="000010A7">
              <w:rPr>
                <w:b/>
                <w:i/>
              </w:rPr>
              <w:t>References</w:t>
            </w:r>
            <w:r w:rsidRPr="000010A7">
              <w:t xml:space="preserve">: </w:t>
            </w:r>
            <w:r w:rsidR="00AD617E" w:rsidRPr="000010A7">
              <w:t xml:space="preserve"> </w:t>
            </w:r>
            <w:r w:rsidRPr="000010A7">
              <w:t xml:space="preserve">For more information </w:t>
            </w:r>
            <w:r w:rsidR="00AB4907" w:rsidRPr="000010A7">
              <w:t>on</w:t>
            </w:r>
          </w:p>
          <w:p w14:paraId="3B02587D" w14:textId="0DFE5AB1" w:rsidR="008D226D" w:rsidRPr="000010A7" w:rsidRDefault="008D226D" w:rsidP="008D226D">
            <w:pPr>
              <w:pStyle w:val="BulletText1"/>
            </w:pPr>
            <w:r w:rsidRPr="000010A7">
              <w:t>considering evidence for combat-related disabilities, see M21-1</w:t>
            </w:r>
            <w:r w:rsidR="00AB4907" w:rsidRPr="000010A7">
              <w:t>,</w:t>
            </w:r>
            <w:r w:rsidRPr="000010A7">
              <w:t xml:space="preserve"> Part IV, Subpart ii, 2.B.</w:t>
            </w:r>
            <w:r w:rsidR="00AB4907" w:rsidRPr="000010A7">
              <w:t>3</w:t>
            </w:r>
            <w:r w:rsidRPr="000010A7">
              <w:t>.d</w:t>
            </w:r>
          </w:p>
          <w:p w14:paraId="64097652" w14:textId="77777777" w:rsidR="00E4527A" w:rsidRPr="000010A7" w:rsidRDefault="00E4527A" w:rsidP="008D226D">
            <w:pPr>
              <w:pStyle w:val="BulletText1"/>
            </w:pPr>
            <w:r w:rsidRPr="000010A7">
              <w:t xml:space="preserve">considering lay evidence, see </w:t>
            </w:r>
            <w:hyperlink r:id="rId62" w:history="1">
              <w:r w:rsidRPr="000010A7">
                <w:rPr>
                  <w:rStyle w:val="Hyperlink"/>
                </w:rPr>
                <w:t>38 U.S.C. 1154(a)</w:t>
              </w:r>
            </w:hyperlink>
          </w:p>
          <w:p w14:paraId="5A0D097F" w14:textId="77777777" w:rsidR="001368C9" w:rsidRPr="000010A7" w:rsidRDefault="009A2700" w:rsidP="001368C9">
            <w:pPr>
              <w:pStyle w:val="BulletText1"/>
            </w:pPr>
            <w:proofErr w:type="gramStart"/>
            <w:r w:rsidRPr="000010A7">
              <w:t>a</w:t>
            </w:r>
            <w:proofErr w:type="gramEnd"/>
            <w:r w:rsidR="001368C9" w:rsidRPr="000010A7">
              <w:t xml:space="preserve"> non-combat Veteran’s statements, see </w:t>
            </w:r>
            <w:hyperlink r:id="rId63" w:anchor="bmb" w:history="1">
              <w:r w:rsidR="001368C9" w:rsidRPr="000010A7">
                <w:rPr>
                  <w:rStyle w:val="Hyperlink"/>
                  <w:i/>
                </w:rPr>
                <w:t>Bardwell v. Shinseki</w:t>
              </w:r>
            </w:hyperlink>
            <w:r w:rsidR="001368C9" w:rsidRPr="000010A7">
              <w:t>, 24 Vet. App. 36 (2010), and</w:t>
            </w:r>
          </w:p>
          <w:p w14:paraId="41322195" w14:textId="71E9EA6D" w:rsidR="001368C9" w:rsidRPr="000010A7" w:rsidRDefault="009A2700" w:rsidP="001368C9">
            <w:pPr>
              <w:pStyle w:val="BulletText1"/>
            </w:pPr>
            <w:r w:rsidRPr="000010A7">
              <w:t>e</w:t>
            </w:r>
            <w:r w:rsidR="001368C9" w:rsidRPr="000010A7">
              <w:t>valuating STRs, see M21-1, Part III, Subpart iv, 5.</w:t>
            </w:r>
            <w:r w:rsidR="00875CDE" w:rsidRPr="000010A7">
              <w:t>3.h</w:t>
            </w:r>
            <w:r w:rsidR="001368C9" w:rsidRPr="000010A7">
              <w:t>.</w:t>
            </w:r>
          </w:p>
        </w:tc>
      </w:tr>
    </w:tbl>
    <w:p w14:paraId="7FB3F108" w14:textId="77777777" w:rsidR="00AD5525" w:rsidRPr="000010A7" w:rsidRDefault="00AD5525">
      <w:pPr>
        <w:pStyle w:val="BlockLine"/>
      </w:pPr>
    </w:p>
    <w:tbl>
      <w:tblPr>
        <w:tblW w:w="0" w:type="auto"/>
        <w:tblLayout w:type="fixed"/>
        <w:tblLook w:val="0000" w:firstRow="0" w:lastRow="0" w:firstColumn="0" w:lastColumn="0" w:noHBand="0" w:noVBand="0"/>
      </w:tblPr>
      <w:tblGrid>
        <w:gridCol w:w="1728"/>
        <w:gridCol w:w="7740"/>
      </w:tblGrid>
      <w:tr w:rsidR="00AD5525" w:rsidRPr="000010A7" w14:paraId="0964AC94" w14:textId="77777777" w:rsidTr="003C3126">
        <w:tc>
          <w:tcPr>
            <w:tcW w:w="1728" w:type="dxa"/>
            <w:shd w:val="clear" w:color="auto" w:fill="auto"/>
          </w:tcPr>
          <w:p w14:paraId="3532BFE2" w14:textId="77777777" w:rsidR="00AD5525" w:rsidRPr="000010A7" w:rsidRDefault="00AD5525">
            <w:pPr>
              <w:pStyle w:val="Heading5"/>
            </w:pPr>
            <w:r w:rsidRPr="000010A7">
              <w:t>b.  When to Use Lay Evidence</w:t>
            </w:r>
          </w:p>
        </w:tc>
        <w:tc>
          <w:tcPr>
            <w:tcW w:w="7740" w:type="dxa"/>
            <w:shd w:val="clear" w:color="auto" w:fill="auto"/>
          </w:tcPr>
          <w:p w14:paraId="236FEB8A" w14:textId="77777777" w:rsidR="00E4527A" w:rsidRPr="000010A7" w:rsidRDefault="00E4527A" w:rsidP="001B1806">
            <w:pPr>
              <w:pStyle w:val="BlockText"/>
            </w:pPr>
            <w:r w:rsidRPr="000010A7">
              <w:t>Lay evidence is generally afforded probative value if</w:t>
            </w:r>
            <w:r w:rsidR="00875CDE" w:rsidRPr="000010A7">
              <w:t xml:space="preserve"> it is</w:t>
            </w:r>
            <w:r w:rsidRPr="000010A7">
              <w:t xml:space="preserve"> provided by a person who has knowledge of facts or circumstances and conveys matters that can be observed and described by a lay person.  </w:t>
            </w:r>
          </w:p>
          <w:p w14:paraId="17ABE374" w14:textId="77777777" w:rsidR="00E4527A" w:rsidRPr="000010A7" w:rsidRDefault="00E4527A" w:rsidP="001B1806">
            <w:pPr>
              <w:pStyle w:val="BlockText"/>
            </w:pPr>
          </w:p>
          <w:p w14:paraId="38419635" w14:textId="77777777" w:rsidR="00AD5525" w:rsidRPr="000010A7" w:rsidRDefault="00AD5525" w:rsidP="001B1806">
            <w:pPr>
              <w:pStyle w:val="BlockText"/>
            </w:pPr>
            <w:r w:rsidRPr="000010A7">
              <w:t>The value accorded to other types of lay evidence depends on such factors as</w:t>
            </w:r>
          </w:p>
          <w:p w14:paraId="472C4A84" w14:textId="77777777" w:rsidR="00AD5525" w:rsidRPr="000010A7" w:rsidRDefault="00AD5525" w:rsidP="001B1806">
            <w:pPr>
              <w:pStyle w:val="BlockText"/>
            </w:pPr>
          </w:p>
          <w:p w14:paraId="09338CF0" w14:textId="77777777" w:rsidR="00AD5525" w:rsidRPr="000010A7" w:rsidRDefault="00AD5525">
            <w:pPr>
              <w:pStyle w:val="BulletText1"/>
            </w:pPr>
            <w:r w:rsidRPr="000010A7">
              <w:t>the accuracy or clarity of the individual’s memory</w:t>
            </w:r>
          </w:p>
          <w:p w14:paraId="19B284A5" w14:textId="77777777" w:rsidR="00E4527A" w:rsidRPr="000010A7" w:rsidRDefault="00AD5525">
            <w:pPr>
              <w:pStyle w:val="BulletText1"/>
            </w:pPr>
            <w:r w:rsidRPr="000010A7">
              <w:t>direct personal knowledge or experience</w:t>
            </w:r>
          </w:p>
          <w:p w14:paraId="70975CEB" w14:textId="77777777" w:rsidR="00AD5525" w:rsidRPr="000010A7" w:rsidRDefault="00E4527A">
            <w:pPr>
              <w:pStyle w:val="BulletText1"/>
            </w:pPr>
            <w:proofErr w:type="spellStart"/>
            <w:r w:rsidRPr="000010A7">
              <w:t>recency</w:t>
            </w:r>
            <w:proofErr w:type="spellEnd"/>
            <w:r w:rsidRPr="000010A7">
              <w:t xml:space="preserve"> of the event</w:t>
            </w:r>
            <w:r w:rsidR="00AD5525" w:rsidRPr="000010A7">
              <w:t>, and</w:t>
            </w:r>
          </w:p>
          <w:p w14:paraId="79D49F4D" w14:textId="77777777" w:rsidR="00AD5525" w:rsidRPr="000010A7" w:rsidRDefault="00AD5525">
            <w:pPr>
              <w:pStyle w:val="BulletText1"/>
            </w:pPr>
            <w:r w:rsidRPr="000010A7">
              <w:t>the competence of the reporting person.</w:t>
            </w:r>
          </w:p>
          <w:p w14:paraId="6CF03771" w14:textId="77777777" w:rsidR="00875CDE" w:rsidRPr="000010A7" w:rsidRDefault="00875CDE" w:rsidP="00875CDE">
            <w:pPr>
              <w:pStyle w:val="BulletText1"/>
              <w:numPr>
                <w:ilvl w:val="0"/>
                <w:numId w:val="0"/>
              </w:numPr>
              <w:ind w:left="173" w:hanging="173"/>
            </w:pPr>
          </w:p>
          <w:p w14:paraId="568BEE99" w14:textId="77777777" w:rsidR="00875CDE" w:rsidRPr="000010A7" w:rsidRDefault="00875CDE" w:rsidP="00875CDE">
            <w:pPr>
              <w:pStyle w:val="BlockText"/>
            </w:pPr>
            <w:r w:rsidRPr="000010A7">
              <w:t>A medically-untrained individual is not usually competent to offer a medical opinion regarding the etiology of disorders and such an opinion is generally assigned little probative weight.</w:t>
            </w:r>
          </w:p>
          <w:p w14:paraId="230F2C86" w14:textId="77777777" w:rsidR="00AD5525" w:rsidRPr="000010A7" w:rsidRDefault="00AD5525" w:rsidP="001B1806">
            <w:pPr>
              <w:pStyle w:val="BlockText"/>
            </w:pPr>
          </w:p>
          <w:p w14:paraId="182BD05F" w14:textId="77777777" w:rsidR="00AD5525" w:rsidRPr="000010A7" w:rsidRDefault="00AD5525" w:rsidP="001B1806">
            <w:pPr>
              <w:pStyle w:val="BlockText"/>
            </w:pPr>
            <w:r w:rsidRPr="000010A7">
              <w:rPr>
                <w:b/>
                <w:i/>
              </w:rPr>
              <w:t>References</w:t>
            </w:r>
            <w:r w:rsidRPr="000010A7">
              <w:t xml:space="preserve">:  For more information on </w:t>
            </w:r>
          </w:p>
          <w:p w14:paraId="78B08474" w14:textId="77777777" w:rsidR="00E4527A" w:rsidRPr="000010A7" w:rsidRDefault="00AD5525">
            <w:pPr>
              <w:pStyle w:val="BulletText1"/>
            </w:pPr>
            <w:proofErr w:type="gramStart"/>
            <w:r w:rsidRPr="000010A7">
              <w:t>using</w:t>
            </w:r>
            <w:proofErr w:type="gramEnd"/>
            <w:r w:rsidRPr="000010A7">
              <w:t xml:space="preserve"> lay evidence to support a claim, see </w:t>
            </w:r>
            <w:hyperlink r:id="rId64" w:anchor="bmb" w:history="1">
              <w:r w:rsidRPr="000010A7">
                <w:rPr>
                  <w:rStyle w:val="Hyperlink"/>
                  <w:i/>
                </w:rPr>
                <w:t xml:space="preserve">Espiritu v. </w:t>
              </w:r>
              <w:proofErr w:type="spellStart"/>
              <w:r w:rsidRPr="000010A7">
                <w:rPr>
                  <w:rStyle w:val="Hyperlink"/>
                  <w:i/>
                </w:rPr>
                <w:t>Derwinski</w:t>
              </w:r>
              <w:proofErr w:type="spellEnd"/>
            </w:hyperlink>
            <w:r w:rsidRPr="000010A7">
              <w:rPr>
                <w:i/>
              </w:rPr>
              <w:t>,</w:t>
            </w:r>
            <w:r w:rsidRPr="000010A7">
              <w:t xml:space="preserve"> 2 Vet. App. 492 (1992)</w:t>
            </w:r>
            <w:r w:rsidR="00E4527A" w:rsidRPr="000010A7">
              <w:t>, and</w:t>
            </w:r>
          </w:p>
          <w:p w14:paraId="26D6616F" w14:textId="77777777" w:rsidR="00AD5525" w:rsidRPr="000010A7" w:rsidRDefault="00E4527A">
            <w:pPr>
              <w:pStyle w:val="BulletText1"/>
            </w:pPr>
            <w:r w:rsidRPr="000010A7">
              <w:t xml:space="preserve">definition of lay evidence, see </w:t>
            </w:r>
            <w:hyperlink r:id="rId65" w:history="1">
              <w:r w:rsidRPr="000010A7">
                <w:rPr>
                  <w:rStyle w:val="Hyperlink"/>
                </w:rPr>
                <w:t>38 CFR 3.159(a)(2)</w:t>
              </w:r>
            </w:hyperlink>
            <w:r w:rsidRPr="000010A7">
              <w:t>.</w:t>
            </w:r>
          </w:p>
        </w:tc>
      </w:tr>
    </w:tbl>
    <w:p w14:paraId="763D67A7" w14:textId="77777777" w:rsidR="00AD5525" w:rsidRPr="000010A7" w:rsidRDefault="00AD5525">
      <w:pPr>
        <w:pStyle w:val="BlockLine"/>
      </w:pPr>
    </w:p>
    <w:p w14:paraId="2CBE7338" w14:textId="4ACBB81B" w:rsidR="00AD5525" w:rsidRPr="000010A7" w:rsidRDefault="00AD5525">
      <w:pPr>
        <w:pStyle w:val="Heading4"/>
      </w:pPr>
      <w:r w:rsidRPr="000010A7">
        <w:br w:type="page"/>
      </w:r>
      <w:r w:rsidR="00AB4907" w:rsidRPr="000010A7">
        <w:t>7</w:t>
      </w:r>
      <w:r w:rsidRPr="000010A7">
        <w:t>.  Requiring Further Development</w:t>
      </w:r>
    </w:p>
    <w:p w14:paraId="2157076F" w14:textId="77777777" w:rsidR="00AD5525" w:rsidRPr="000010A7" w:rsidRDefault="00AD5525">
      <w:pPr>
        <w:pStyle w:val="BlockLine"/>
      </w:pPr>
    </w:p>
    <w:tbl>
      <w:tblPr>
        <w:tblW w:w="0" w:type="auto"/>
        <w:tblLayout w:type="fixed"/>
        <w:tblLook w:val="0000" w:firstRow="0" w:lastRow="0" w:firstColumn="0" w:lastColumn="0" w:noHBand="0" w:noVBand="0"/>
      </w:tblPr>
      <w:tblGrid>
        <w:gridCol w:w="1728"/>
        <w:gridCol w:w="7740"/>
      </w:tblGrid>
      <w:tr w:rsidR="00AD5525" w:rsidRPr="000010A7" w14:paraId="559B739A" w14:textId="77777777" w:rsidTr="001B1806">
        <w:trPr>
          <w:cantSplit/>
        </w:trPr>
        <w:tc>
          <w:tcPr>
            <w:tcW w:w="1728" w:type="dxa"/>
            <w:shd w:val="clear" w:color="auto" w:fill="auto"/>
          </w:tcPr>
          <w:p w14:paraId="22C4E9DE" w14:textId="77777777" w:rsidR="00AD5525" w:rsidRPr="000010A7" w:rsidRDefault="00AD5525">
            <w:pPr>
              <w:pStyle w:val="Heading5"/>
            </w:pPr>
            <w:r w:rsidRPr="000010A7">
              <w:t>Change Date</w:t>
            </w:r>
          </w:p>
        </w:tc>
        <w:tc>
          <w:tcPr>
            <w:tcW w:w="7740" w:type="dxa"/>
            <w:shd w:val="clear" w:color="auto" w:fill="auto"/>
          </w:tcPr>
          <w:p w14:paraId="774CBA7E" w14:textId="614EB870" w:rsidR="00AD5525" w:rsidRPr="000010A7" w:rsidRDefault="00A53011" w:rsidP="001B1806">
            <w:pPr>
              <w:pStyle w:val="BlockText"/>
            </w:pPr>
            <w:r w:rsidRPr="000010A7">
              <w:t>July 15, 2015</w:t>
            </w:r>
          </w:p>
        </w:tc>
      </w:tr>
    </w:tbl>
    <w:p w14:paraId="47AEB023" w14:textId="77777777" w:rsidR="00AD5525" w:rsidRPr="000010A7" w:rsidRDefault="00AD5525">
      <w:pPr>
        <w:pStyle w:val="BlockLine"/>
      </w:pPr>
    </w:p>
    <w:tbl>
      <w:tblPr>
        <w:tblW w:w="0" w:type="auto"/>
        <w:tblLayout w:type="fixed"/>
        <w:tblLook w:val="0000" w:firstRow="0" w:lastRow="0" w:firstColumn="0" w:lastColumn="0" w:noHBand="0" w:noVBand="0"/>
      </w:tblPr>
      <w:tblGrid>
        <w:gridCol w:w="1728"/>
        <w:gridCol w:w="7740"/>
      </w:tblGrid>
      <w:tr w:rsidR="00AD5525" w:rsidRPr="000010A7" w14:paraId="0AE5054F" w14:textId="77777777" w:rsidTr="001B1806">
        <w:trPr>
          <w:cantSplit/>
        </w:trPr>
        <w:tc>
          <w:tcPr>
            <w:tcW w:w="1728" w:type="dxa"/>
            <w:shd w:val="clear" w:color="auto" w:fill="auto"/>
          </w:tcPr>
          <w:p w14:paraId="13A81CB6" w14:textId="0462AE4B" w:rsidR="00AD5525" w:rsidRPr="000010A7" w:rsidRDefault="00AD5525" w:rsidP="002A5497">
            <w:pPr>
              <w:pStyle w:val="Heading5"/>
            </w:pPr>
            <w:proofErr w:type="gramStart"/>
            <w:r w:rsidRPr="000010A7">
              <w:t xml:space="preserve">a.  </w:t>
            </w:r>
            <w:r w:rsidR="002A5497" w:rsidRPr="000010A7">
              <w:t>When</w:t>
            </w:r>
            <w:proofErr w:type="gramEnd"/>
            <w:r w:rsidRPr="000010A7">
              <w:t xml:space="preserve"> Development</w:t>
            </w:r>
            <w:r w:rsidR="002A5497" w:rsidRPr="000010A7">
              <w:t xml:space="preserve"> to Obtain Additional Evidence May Be Needed</w:t>
            </w:r>
          </w:p>
        </w:tc>
        <w:tc>
          <w:tcPr>
            <w:tcW w:w="7740" w:type="dxa"/>
            <w:shd w:val="clear" w:color="auto" w:fill="auto"/>
          </w:tcPr>
          <w:p w14:paraId="33623E78" w14:textId="58C5157D" w:rsidR="00722C26" w:rsidRPr="000010A7" w:rsidRDefault="00086C0B" w:rsidP="004E5D76">
            <w:pPr>
              <w:pStyle w:val="BlockText"/>
            </w:pPr>
            <w:r w:rsidRPr="000010A7">
              <w:t>D</w:t>
            </w:r>
            <w:r w:rsidR="004E5D76" w:rsidRPr="000010A7">
              <w:t xml:space="preserve">evelopment to obtain additional evidence such as a medical examination </w:t>
            </w:r>
            <w:r w:rsidR="00D85A3C" w:rsidRPr="000010A7">
              <w:t>o</w:t>
            </w:r>
            <w:r w:rsidR="004E5D76" w:rsidRPr="000010A7">
              <w:t xml:space="preserve">r </w:t>
            </w:r>
            <w:r w:rsidR="00883FF6" w:rsidRPr="000010A7">
              <w:t xml:space="preserve">other </w:t>
            </w:r>
            <w:r w:rsidR="004E5D76" w:rsidRPr="000010A7">
              <w:t xml:space="preserve">records may be needed if </w:t>
            </w:r>
          </w:p>
          <w:p w14:paraId="5B035EF4" w14:textId="77777777" w:rsidR="00E36BE6" w:rsidRPr="000010A7" w:rsidRDefault="00E36BE6" w:rsidP="004E5D76">
            <w:pPr>
              <w:pStyle w:val="BlockText"/>
            </w:pPr>
          </w:p>
          <w:p w14:paraId="2B5E9CEB" w14:textId="77777777" w:rsidR="00722C26" w:rsidRPr="000010A7" w:rsidRDefault="004E5D76" w:rsidP="00D85A3C">
            <w:pPr>
              <w:pStyle w:val="BulletText1"/>
            </w:pPr>
            <w:r w:rsidRPr="000010A7">
              <w:t>it would provide a more complete picture of a question at issue</w:t>
            </w:r>
            <w:r w:rsidR="00BC191C" w:rsidRPr="000010A7">
              <w:t>,</w:t>
            </w:r>
            <w:r w:rsidRPr="000010A7">
              <w:t xml:space="preserve"> or </w:t>
            </w:r>
          </w:p>
          <w:p w14:paraId="67B6BAE3" w14:textId="77777777" w:rsidR="004E5D76" w:rsidRPr="000010A7" w:rsidRDefault="00086C0B" w:rsidP="00D85A3C">
            <w:pPr>
              <w:pStyle w:val="BulletText1"/>
            </w:pPr>
            <w:r w:rsidRPr="000010A7">
              <w:t xml:space="preserve">if </w:t>
            </w:r>
            <w:r w:rsidR="004E5D76" w:rsidRPr="000010A7">
              <w:t xml:space="preserve">the evidence of record is questionable or conflicting. </w:t>
            </w:r>
          </w:p>
          <w:p w14:paraId="682C764C" w14:textId="77777777" w:rsidR="004E5D76" w:rsidRPr="000010A7" w:rsidRDefault="004E5D76" w:rsidP="004E5D76">
            <w:pPr>
              <w:pStyle w:val="BlockText"/>
            </w:pPr>
          </w:p>
          <w:p w14:paraId="0CC327AA" w14:textId="132E8DCC" w:rsidR="0019242E" w:rsidRPr="000010A7" w:rsidRDefault="00722C26" w:rsidP="0019242E">
            <w:pPr>
              <w:pStyle w:val="BlockText"/>
            </w:pPr>
            <w:r w:rsidRPr="000010A7">
              <w:rPr>
                <w:b/>
                <w:i/>
              </w:rPr>
              <w:t>Note</w:t>
            </w:r>
            <w:r w:rsidRPr="000010A7">
              <w:t>:</w:t>
            </w:r>
            <w:r w:rsidRPr="000010A7">
              <w:rPr>
                <w:b/>
                <w:i/>
              </w:rPr>
              <w:t xml:space="preserve"> </w:t>
            </w:r>
            <w:r w:rsidR="00AD617E" w:rsidRPr="000010A7">
              <w:rPr>
                <w:b/>
                <w:i/>
              </w:rPr>
              <w:t xml:space="preserve"> </w:t>
            </w:r>
            <w:r w:rsidR="0019242E" w:rsidRPr="000010A7">
              <w:t>Decision makers may not arbitrar</w:t>
            </w:r>
            <w:r w:rsidR="004E5D76" w:rsidRPr="000010A7">
              <w:t>i</w:t>
            </w:r>
            <w:r w:rsidR="0019242E" w:rsidRPr="000010A7">
              <w:t xml:space="preserve">ly or capriciously refuse to </w:t>
            </w:r>
            <w:r w:rsidR="00875CDE" w:rsidRPr="000010A7">
              <w:t>assign weight to</w:t>
            </w:r>
            <w:r w:rsidR="0019242E" w:rsidRPr="000010A7">
              <w:t xml:space="preserve"> a claimant’s evidence or develop with</w:t>
            </w:r>
            <w:r w:rsidR="0019242E" w:rsidRPr="000010A7">
              <w:rPr>
                <w:i/>
              </w:rPr>
              <w:t xml:space="preserve"> the purpose </w:t>
            </w:r>
            <w:r w:rsidR="0019242E" w:rsidRPr="000010A7">
              <w:t xml:space="preserve">of obtaining evidence </w:t>
            </w:r>
            <w:r w:rsidR="00B2474D" w:rsidRPr="000010A7">
              <w:t>to justify a denial of the claim</w:t>
            </w:r>
            <w:r w:rsidR="00BC191C" w:rsidRPr="000010A7">
              <w:t>.</w:t>
            </w:r>
            <w:r w:rsidR="00875CDE" w:rsidRPr="000010A7">
              <w:t xml:space="preserve">  Instead, decision makers</w:t>
            </w:r>
            <w:r w:rsidR="00C02033" w:rsidRPr="000010A7">
              <w:t xml:space="preserve"> must be able to support the determination</w:t>
            </w:r>
            <w:r w:rsidR="004E5D76" w:rsidRPr="000010A7">
              <w:t xml:space="preserve"> that development is needed.</w:t>
            </w:r>
          </w:p>
          <w:p w14:paraId="35D5675F" w14:textId="77777777" w:rsidR="0049784C" w:rsidRPr="000010A7" w:rsidRDefault="0049784C" w:rsidP="001B1806">
            <w:pPr>
              <w:pStyle w:val="BlockText"/>
            </w:pPr>
          </w:p>
          <w:p w14:paraId="33F21DBB" w14:textId="067A2C46" w:rsidR="00F32A37" w:rsidRPr="000010A7" w:rsidRDefault="00741C5C" w:rsidP="00284F88">
            <w:pPr>
              <w:pStyle w:val="BulletText1"/>
            </w:pPr>
            <w:r w:rsidRPr="000010A7">
              <w:rPr>
                <w:b/>
                <w:i/>
              </w:rPr>
              <w:t>Reference</w:t>
            </w:r>
            <w:r w:rsidR="00284F88" w:rsidRPr="000010A7">
              <w:rPr>
                <w:b/>
                <w:i/>
              </w:rPr>
              <w:t>s</w:t>
            </w:r>
            <w:r w:rsidRPr="000010A7">
              <w:t xml:space="preserve">: </w:t>
            </w:r>
            <w:r w:rsidR="00AD617E" w:rsidRPr="000010A7">
              <w:t xml:space="preserve"> </w:t>
            </w:r>
            <w:r w:rsidRPr="000010A7">
              <w:t xml:space="preserve">For more information on ordering further development in cases where uncorroborated lay evidence is presented, see </w:t>
            </w:r>
            <w:hyperlink r:id="rId66" w:anchor="bmd" w:history="1">
              <w:r w:rsidRPr="000010A7">
                <w:rPr>
                  <w:rStyle w:val="Hyperlink"/>
                  <w:i/>
                </w:rPr>
                <w:t>Douglas v. Shinseki</w:t>
              </w:r>
            </w:hyperlink>
            <w:r w:rsidRPr="000010A7">
              <w:t xml:space="preserve">, </w:t>
            </w:r>
            <w:r w:rsidR="0049784C" w:rsidRPr="000010A7">
              <w:t xml:space="preserve">23 </w:t>
            </w:r>
            <w:proofErr w:type="spellStart"/>
            <w:r w:rsidR="0049784C" w:rsidRPr="000010A7">
              <w:t>Vet.</w:t>
            </w:r>
            <w:r w:rsidR="006C07CB" w:rsidRPr="000010A7">
              <w:t>App</w:t>
            </w:r>
            <w:proofErr w:type="spellEnd"/>
            <w:r w:rsidR="006C07CB" w:rsidRPr="000010A7">
              <w:t>. 19 (2009)</w:t>
            </w:r>
            <w:r w:rsidR="0049784C" w:rsidRPr="000010A7">
              <w:t xml:space="preserve">  </w:t>
            </w:r>
          </w:p>
          <w:p w14:paraId="6A6B6C38" w14:textId="77777777" w:rsidR="00037915" w:rsidRPr="000010A7" w:rsidRDefault="006C07CB" w:rsidP="00284F88">
            <w:pPr>
              <w:pStyle w:val="BulletText1"/>
            </w:pPr>
            <w:r w:rsidRPr="000010A7">
              <w:t>a</w:t>
            </w:r>
            <w:r w:rsidR="005C6987" w:rsidRPr="000010A7">
              <w:t xml:space="preserve"> </w:t>
            </w:r>
            <w:r w:rsidRPr="000010A7">
              <w:t>V</w:t>
            </w:r>
            <w:r w:rsidR="005C6987" w:rsidRPr="000010A7">
              <w:t>eteran’s submission of evidence and refusal to attend a VA examination</w:t>
            </w:r>
            <w:r w:rsidR="00037915" w:rsidRPr="000010A7">
              <w:t xml:space="preserve">, see </w:t>
            </w:r>
            <w:hyperlink r:id="rId67" w:anchor="bmk" w:history="1">
              <w:r w:rsidR="00037915" w:rsidRPr="000010A7">
                <w:rPr>
                  <w:rStyle w:val="Hyperlink"/>
                  <w:i/>
                </w:rPr>
                <w:t>Kowalski v.</w:t>
              </w:r>
              <w:r w:rsidR="005C6987" w:rsidRPr="000010A7">
                <w:rPr>
                  <w:rStyle w:val="Hyperlink"/>
                  <w:i/>
                </w:rPr>
                <w:t xml:space="preserve"> Nicholson</w:t>
              </w:r>
            </w:hyperlink>
            <w:r w:rsidR="005C6987" w:rsidRPr="000010A7">
              <w:t xml:space="preserve">, 19 </w:t>
            </w:r>
            <w:proofErr w:type="spellStart"/>
            <w:r w:rsidR="005C6987" w:rsidRPr="000010A7">
              <w:t>Vet.App</w:t>
            </w:r>
            <w:proofErr w:type="spellEnd"/>
            <w:r w:rsidR="005C6987" w:rsidRPr="000010A7">
              <w:t>. 171 (2005)</w:t>
            </w:r>
            <w:r w:rsidRPr="000010A7">
              <w:t>, and</w:t>
            </w:r>
          </w:p>
          <w:p w14:paraId="36237FA7" w14:textId="77777777" w:rsidR="00741C5C" w:rsidRPr="000010A7" w:rsidRDefault="006C07CB" w:rsidP="006C07CB">
            <w:pPr>
              <w:pStyle w:val="BulletText1"/>
            </w:pPr>
            <w:r w:rsidRPr="000010A7">
              <w:t xml:space="preserve">developing with the purpose of denying and explaining the need for development, </w:t>
            </w:r>
            <w:r w:rsidRPr="000010A7">
              <w:rPr>
                <w:i/>
              </w:rPr>
              <w:t xml:space="preserve">see </w:t>
            </w:r>
            <w:hyperlink r:id="rId68" w:anchor="bmm" w:history="1">
              <w:r w:rsidRPr="000010A7">
                <w:rPr>
                  <w:rStyle w:val="Hyperlink"/>
                  <w:i/>
                </w:rPr>
                <w:t xml:space="preserve">Mariano v. </w:t>
              </w:r>
              <w:proofErr w:type="spellStart"/>
              <w:r w:rsidRPr="000010A7">
                <w:rPr>
                  <w:rStyle w:val="Hyperlink"/>
                  <w:i/>
                </w:rPr>
                <w:t>Principi</w:t>
              </w:r>
              <w:proofErr w:type="spellEnd"/>
            </w:hyperlink>
            <w:r w:rsidRPr="000010A7">
              <w:t xml:space="preserve">, 17 </w:t>
            </w:r>
            <w:proofErr w:type="spellStart"/>
            <w:r w:rsidRPr="000010A7">
              <w:t>Vet.App</w:t>
            </w:r>
            <w:proofErr w:type="spellEnd"/>
            <w:r w:rsidRPr="000010A7">
              <w:t>. 305 (2003).</w:t>
            </w:r>
          </w:p>
        </w:tc>
      </w:tr>
    </w:tbl>
    <w:p w14:paraId="0F0960CC" w14:textId="77777777" w:rsidR="00AD5525" w:rsidRPr="000010A7" w:rsidRDefault="00AD5525">
      <w:pPr>
        <w:pStyle w:val="BlockLine"/>
      </w:pPr>
    </w:p>
    <w:p w14:paraId="75D33551" w14:textId="6A2A6BD6" w:rsidR="00AD5525" w:rsidRPr="000010A7" w:rsidRDefault="00AD5525">
      <w:pPr>
        <w:pStyle w:val="Heading4"/>
      </w:pPr>
      <w:r w:rsidRPr="000010A7">
        <w:br w:type="page"/>
      </w:r>
      <w:r w:rsidR="00875CDE" w:rsidRPr="000010A7">
        <w:t>8</w:t>
      </w:r>
      <w:r w:rsidRPr="000010A7">
        <w:t xml:space="preserve">.  Evidence </w:t>
      </w:r>
      <w:proofErr w:type="gramStart"/>
      <w:r w:rsidRPr="000010A7">
        <w:t>From</w:t>
      </w:r>
      <w:proofErr w:type="gramEnd"/>
      <w:r w:rsidRPr="000010A7">
        <w:t xml:space="preserve"> Non-VA Sources</w:t>
      </w:r>
    </w:p>
    <w:p w14:paraId="42B16201" w14:textId="77777777" w:rsidR="00AD5525" w:rsidRPr="000010A7" w:rsidRDefault="007C77CF">
      <w:pPr>
        <w:pStyle w:val="BlockLine"/>
      </w:pPr>
      <w:r w:rsidRPr="000010A7">
        <w:fldChar w:fldCharType="begin"/>
      </w:r>
      <w:r w:rsidRPr="000010A7">
        <w:instrText xml:space="preserve"> PRIVATE INFOTYPE="OTHER" </w:instrText>
      </w:r>
      <w:r w:rsidRPr="000010A7">
        <w:fldChar w:fldCharType="end"/>
      </w:r>
    </w:p>
    <w:tbl>
      <w:tblPr>
        <w:tblW w:w="0" w:type="auto"/>
        <w:tblLayout w:type="fixed"/>
        <w:tblLook w:val="0000" w:firstRow="0" w:lastRow="0" w:firstColumn="0" w:lastColumn="0" w:noHBand="0" w:noVBand="0"/>
      </w:tblPr>
      <w:tblGrid>
        <w:gridCol w:w="1728"/>
        <w:gridCol w:w="7740"/>
      </w:tblGrid>
      <w:tr w:rsidR="00AD5525" w:rsidRPr="000010A7" w14:paraId="10B76691" w14:textId="77777777" w:rsidTr="001B1806">
        <w:trPr>
          <w:cantSplit/>
        </w:trPr>
        <w:tc>
          <w:tcPr>
            <w:tcW w:w="1728" w:type="dxa"/>
            <w:shd w:val="clear" w:color="auto" w:fill="auto"/>
          </w:tcPr>
          <w:p w14:paraId="2A09AAB0" w14:textId="77777777" w:rsidR="00AD5525" w:rsidRPr="000010A7" w:rsidRDefault="00AD5525">
            <w:pPr>
              <w:pStyle w:val="Heading5"/>
            </w:pPr>
            <w:r w:rsidRPr="000010A7">
              <w:t>Introduction</w:t>
            </w:r>
          </w:p>
        </w:tc>
        <w:tc>
          <w:tcPr>
            <w:tcW w:w="7740" w:type="dxa"/>
            <w:shd w:val="clear" w:color="auto" w:fill="auto"/>
          </w:tcPr>
          <w:p w14:paraId="4FE5F21C" w14:textId="77777777" w:rsidR="00AD5525" w:rsidRPr="000010A7" w:rsidRDefault="00AD5525" w:rsidP="001B1806">
            <w:pPr>
              <w:pStyle w:val="BlockText"/>
            </w:pPr>
            <w:r w:rsidRPr="000010A7">
              <w:t>This topic contains information about evidence from non-VA sources, including</w:t>
            </w:r>
          </w:p>
          <w:p w14:paraId="438603A6" w14:textId="77777777" w:rsidR="00AD5525" w:rsidRPr="000010A7" w:rsidRDefault="00AD5525" w:rsidP="001B1806">
            <w:pPr>
              <w:pStyle w:val="BlockText"/>
            </w:pPr>
          </w:p>
          <w:p w14:paraId="0746CB3A" w14:textId="77777777" w:rsidR="00AD5525" w:rsidRPr="000010A7" w:rsidRDefault="00AD5525">
            <w:pPr>
              <w:pStyle w:val="BulletText1"/>
            </w:pPr>
            <w:r w:rsidRPr="000010A7">
              <w:t>evaluating evidence from non-VA sources, and</w:t>
            </w:r>
          </w:p>
          <w:p w14:paraId="41EF3455" w14:textId="7877CE2D" w:rsidR="00AD5525" w:rsidRPr="000010A7" w:rsidRDefault="00E36BE6">
            <w:pPr>
              <w:pStyle w:val="BulletText1"/>
            </w:pPr>
            <w:proofErr w:type="gramStart"/>
            <w:r w:rsidRPr="000010A7">
              <w:t>evaluating</w:t>
            </w:r>
            <w:proofErr w:type="gramEnd"/>
            <w:r w:rsidR="00AD5525" w:rsidRPr="000010A7">
              <w:t xml:space="preserve"> conflicting evidence.</w:t>
            </w:r>
          </w:p>
        </w:tc>
      </w:tr>
    </w:tbl>
    <w:p w14:paraId="66E6794D" w14:textId="77777777" w:rsidR="00AD5525" w:rsidRPr="000010A7" w:rsidRDefault="00AD5525">
      <w:pPr>
        <w:pStyle w:val="BlockLine"/>
      </w:pPr>
    </w:p>
    <w:tbl>
      <w:tblPr>
        <w:tblW w:w="0" w:type="auto"/>
        <w:tblLayout w:type="fixed"/>
        <w:tblLook w:val="0000" w:firstRow="0" w:lastRow="0" w:firstColumn="0" w:lastColumn="0" w:noHBand="0" w:noVBand="0"/>
      </w:tblPr>
      <w:tblGrid>
        <w:gridCol w:w="1728"/>
        <w:gridCol w:w="7740"/>
      </w:tblGrid>
      <w:tr w:rsidR="00AD5525" w:rsidRPr="000010A7" w14:paraId="147D38A9" w14:textId="77777777" w:rsidTr="001B1806">
        <w:trPr>
          <w:cantSplit/>
        </w:trPr>
        <w:tc>
          <w:tcPr>
            <w:tcW w:w="1728" w:type="dxa"/>
            <w:shd w:val="clear" w:color="auto" w:fill="auto"/>
          </w:tcPr>
          <w:p w14:paraId="32C87AC1" w14:textId="77777777" w:rsidR="00AD5525" w:rsidRPr="000010A7" w:rsidRDefault="00AD5525">
            <w:pPr>
              <w:pStyle w:val="Heading5"/>
            </w:pPr>
            <w:r w:rsidRPr="000010A7">
              <w:t>Change Date</w:t>
            </w:r>
          </w:p>
        </w:tc>
        <w:tc>
          <w:tcPr>
            <w:tcW w:w="7740" w:type="dxa"/>
            <w:shd w:val="clear" w:color="auto" w:fill="auto"/>
          </w:tcPr>
          <w:p w14:paraId="501A1AA6" w14:textId="0A4372CA" w:rsidR="00AD5525" w:rsidRPr="000010A7" w:rsidRDefault="00A53011" w:rsidP="001B1806">
            <w:pPr>
              <w:pStyle w:val="BlockText"/>
            </w:pPr>
            <w:r w:rsidRPr="000010A7">
              <w:t>July 15, 2015</w:t>
            </w:r>
          </w:p>
        </w:tc>
      </w:tr>
    </w:tbl>
    <w:p w14:paraId="22F36385" w14:textId="77777777" w:rsidR="00AD5525" w:rsidRPr="000010A7" w:rsidRDefault="00AD5525">
      <w:pPr>
        <w:pStyle w:val="BlockLine"/>
      </w:pPr>
    </w:p>
    <w:tbl>
      <w:tblPr>
        <w:tblW w:w="0" w:type="auto"/>
        <w:tblLayout w:type="fixed"/>
        <w:tblLook w:val="0000" w:firstRow="0" w:lastRow="0" w:firstColumn="0" w:lastColumn="0" w:noHBand="0" w:noVBand="0"/>
      </w:tblPr>
      <w:tblGrid>
        <w:gridCol w:w="1728"/>
        <w:gridCol w:w="7740"/>
      </w:tblGrid>
      <w:tr w:rsidR="00AD5525" w:rsidRPr="000010A7" w14:paraId="6C92810A" w14:textId="77777777" w:rsidTr="001B1806">
        <w:trPr>
          <w:cantSplit/>
        </w:trPr>
        <w:tc>
          <w:tcPr>
            <w:tcW w:w="1728" w:type="dxa"/>
            <w:shd w:val="clear" w:color="auto" w:fill="auto"/>
          </w:tcPr>
          <w:p w14:paraId="6E3D9AAA" w14:textId="77777777" w:rsidR="00AD5525" w:rsidRPr="000010A7" w:rsidRDefault="00AD5525">
            <w:pPr>
              <w:pStyle w:val="Heading5"/>
            </w:pPr>
            <w:r w:rsidRPr="000010A7">
              <w:t>a.  Evaluating Evidence From Non-VA Sources</w:t>
            </w:r>
          </w:p>
        </w:tc>
        <w:tc>
          <w:tcPr>
            <w:tcW w:w="7740" w:type="dxa"/>
            <w:shd w:val="clear" w:color="auto" w:fill="auto"/>
          </w:tcPr>
          <w:p w14:paraId="03F32B8C" w14:textId="7D1318DB" w:rsidR="00E4527A" w:rsidRPr="000010A7" w:rsidRDefault="00AD5525" w:rsidP="00E4527A">
            <w:pPr>
              <w:pStyle w:val="BlockText"/>
            </w:pPr>
            <w:r w:rsidRPr="000010A7">
              <w:t xml:space="preserve">When evaluating medical and lay evidence from non-VA </w:t>
            </w:r>
            <w:proofErr w:type="spellStart"/>
            <w:r w:rsidRPr="000010A7">
              <w:t>sourcesaccept</w:t>
            </w:r>
            <w:proofErr w:type="spellEnd"/>
            <w:r w:rsidRPr="000010A7">
              <w:t xml:space="preserve"> it at face value unless there is reason to question it</w:t>
            </w:r>
            <w:r w:rsidR="00E4527A" w:rsidRPr="000010A7">
              <w:t>s competency or credibility.</w:t>
            </w:r>
          </w:p>
          <w:p w14:paraId="22DA55CE" w14:textId="77777777" w:rsidR="00037915" w:rsidRPr="000010A7" w:rsidRDefault="00037915" w:rsidP="009D71BB"/>
          <w:p w14:paraId="2D1A7F4D" w14:textId="77777777" w:rsidR="00E4527A" w:rsidRPr="000010A7" w:rsidRDefault="00E4527A" w:rsidP="009D71BB">
            <w:r w:rsidRPr="000010A7">
              <w:t>Non-VA evidence does not have inherently less probative value th</w:t>
            </w:r>
            <w:r w:rsidR="007B134B" w:rsidRPr="000010A7">
              <w:t>an evidence originated by VA.  Both</w:t>
            </w:r>
            <w:r w:rsidRPr="000010A7">
              <w:t xml:space="preserve"> VA and non-VA evidence are objectively weighed in determinations of competency, credibility, and probative value.   </w:t>
            </w:r>
          </w:p>
        </w:tc>
      </w:tr>
    </w:tbl>
    <w:p w14:paraId="4B6D5531" w14:textId="77777777" w:rsidR="00AD5525" w:rsidRPr="000010A7" w:rsidRDefault="00AD5525">
      <w:pPr>
        <w:pStyle w:val="BlockLine"/>
      </w:pPr>
    </w:p>
    <w:tbl>
      <w:tblPr>
        <w:tblW w:w="0" w:type="auto"/>
        <w:tblLayout w:type="fixed"/>
        <w:tblLook w:val="0000" w:firstRow="0" w:lastRow="0" w:firstColumn="0" w:lastColumn="0" w:noHBand="0" w:noVBand="0"/>
      </w:tblPr>
      <w:tblGrid>
        <w:gridCol w:w="1728"/>
        <w:gridCol w:w="7740"/>
      </w:tblGrid>
      <w:tr w:rsidR="00AD5525" w:rsidRPr="000010A7" w14:paraId="3A13D676" w14:textId="77777777" w:rsidTr="001B1806">
        <w:trPr>
          <w:cantSplit/>
        </w:trPr>
        <w:tc>
          <w:tcPr>
            <w:tcW w:w="1728" w:type="dxa"/>
            <w:shd w:val="clear" w:color="auto" w:fill="auto"/>
          </w:tcPr>
          <w:p w14:paraId="3C6A1CAE" w14:textId="60AD96F2" w:rsidR="00AD5525" w:rsidRPr="000010A7" w:rsidRDefault="00AD5525" w:rsidP="00E36BE6">
            <w:pPr>
              <w:pStyle w:val="Heading5"/>
            </w:pPr>
            <w:proofErr w:type="gramStart"/>
            <w:r w:rsidRPr="000010A7">
              <w:t xml:space="preserve">b.  </w:t>
            </w:r>
            <w:r w:rsidR="00E36BE6" w:rsidRPr="000010A7">
              <w:t>Evaluating</w:t>
            </w:r>
            <w:proofErr w:type="gramEnd"/>
            <w:r w:rsidR="00E36BE6" w:rsidRPr="000010A7">
              <w:t xml:space="preserve"> </w:t>
            </w:r>
            <w:r w:rsidRPr="000010A7">
              <w:t>Conflicting Evidence</w:t>
            </w:r>
          </w:p>
        </w:tc>
        <w:tc>
          <w:tcPr>
            <w:tcW w:w="7740" w:type="dxa"/>
            <w:shd w:val="clear" w:color="auto" w:fill="auto"/>
          </w:tcPr>
          <w:p w14:paraId="4DDB1DEB" w14:textId="77777777" w:rsidR="00AD5525" w:rsidRPr="000010A7" w:rsidRDefault="00AD5525" w:rsidP="001B1806">
            <w:pPr>
              <w:pStyle w:val="BlockText"/>
            </w:pPr>
            <w:r w:rsidRPr="000010A7">
              <w:t>Use good judgment when evaluating conflicting evidence.</w:t>
            </w:r>
          </w:p>
          <w:p w14:paraId="6A17B0FC" w14:textId="77777777" w:rsidR="00AD5525" w:rsidRPr="000010A7" w:rsidRDefault="00AD5525" w:rsidP="001B1806">
            <w:pPr>
              <w:pStyle w:val="BlockText"/>
            </w:pPr>
          </w:p>
          <w:p w14:paraId="29EDB3FA" w14:textId="7E84B8D2" w:rsidR="00AD5525" w:rsidRPr="000010A7" w:rsidRDefault="00AD5525" w:rsidP="001B1806">
            <w:pPr>
              <w:pStyle w:val="BlockText"/>
            </w:pPr>
            <w:r w:rsidRPr="000010A7">
              <w:t xml:space="preserve">Consider </w:t>
            </w:r>
          </w:p>
          <w:p w14:paraId="1F1E3E09" w14:textId="77777777" w:rsidR="00AD5525" w:rsidRPr="000010A7" w:rsidRDefault="00AD5525" w:rsidP="001B1806">
            <w:pPr>
              <w:pStyle w:val="BlockText"/>
            </w:pPr>
          </w:p>
          <w:p w14:paraId="663EAC4B" w14:textId="77777777" w:rsidR="00AD5525" w:rsidRPr="000010A7" w:rsidRDefault="00AD5525">
            <w:pPr>
              <w:pStyle w:val="BulletText1"/>
            </w:pPr>
            <w:r w:rsidRPr="000010A7">
              <w:t>whether witnesses have a personal interest in the issue</w:t>
            </w:r>
          </w:p>
          <w:p w14:paraId="0D64AEF6" w14:textId="77777777" w:rsidR="00AD5525" w:rsidRPr="000010A7" w:rsidRDefault="00AD5525">
            <w:pPr>
              <w:pStyle w:val="BulletText1"/>
            </w:pPr>
            <w:r w:rsidRPr="000010A7">
              <w:t>if there is a basis for bias</w:t>
            </w:r>
          </w:p>
          <w:p w14:paraId="6A98D48D" w14:textId="77777777" w:rsidR="00AD5525" w:rsidRPr="000010A7" w:rsidRDefault="00AD5525">
            <w:pPr>
              <w:pStyle w:val="BulletText1"/>
            </w:pPr>
            <w:r w:rsidRPr="000010A7">
              <w:t>if one party had a better opportunity to know the facts, and</w:t>
            </w:r>
          </w:p>
          <w:p w14:paraId="041F267A" w14:textId="77777777" w:rsidR="00AD5525" w:rsidRPr="000010A7" w:rsidRDefault="00AD5525">
            <w:pPr>
              <w:pStyle w:val="BulletText1"/>
            </w:pPr>
            <w:r w:rsidRPr="000010A7">
              <w:t>which version is more reasonable and probable.</w:t>
            </w:r>
          </w:p>
        </w:tc>
      </w:tr>
    </w:tbl>
    <w:p w14:paraId="261732ED" w14:textId="77777777" w:rsidR="00AD5525" w:rsidRPr="000010A7" w:rsidRDefault="00AD5525">
      <w:pPr>
        <w:pStyle w:val="BlockLine"/>
      </w:pPr>
    </w:p>
    <w:p w14:paraId="63098191" w14:textId="44B35A9B" w:rsidR="00AD5525" w:rsidRPr="000010A7" w:rsidRDefault="00AD5525">
      <w:pPr>
        <w:pStyle w:val="Heading4"/>
      </w:pPr>
      <w:r w:rsidRPr="000010A7">
        <w:br w:type="page"/>
      </w:r>
      <w:r w:rsidR="007B134B" w:rsidRPr="000010A7">
        <w:t>9</w:t>
      </w:r>
      <w:r w:rsidRPr="000010A7">
        <w:t>.  Weighing the Evidence</w:t>
      </w:r>
    </w:p>
    <w:p w14:paraId="7EBC7ED9" w14:textId="77777777" w:rsidR="00AD5525" w:rsidRPr="000010A7" w:rsidRDefault="00AD5525">
      <w:pPr>
        <w:pStyle w:val="BlockLine"/>
      </w:pPr>
    </w:p>
    <w:tbl>
      <w:tblPr>
        <w:tblW w:w="0" w:type="auto"/>
        <w:tblLayout w:type="fixed"/>
        <w:tblLook w:val="0000" w:firstRow="0" w:lastRow="0" w:firstColumn="0" w:lastColumn="0" w:noHBand="0" w:noVBand="0"/>
      </w:tblPr>
      <w:tblGrid>
        <w:gridCol w:w="1728"/>
        <w:gridCol w:w="7740"/>
      </w:tblGrid>
      <w:tr w:rsidR="00AD5525" w:rsidRPr="000010A7" w14:paraId="0C293BCC" w14:textId="77777777" w:rsidTr="001B1806">
        <w:trPr>
          <w:cantSplit/>
        </w:trPr>
        <w:tc>
          <w:tcPr>
            <w:tcW w:w="1728" w:type="dxa"/>
            <w:shd w:val="clear" w:color="auto" w:fill="auto"/>
          </w:tcPr>
          <w:p w14:paraId="205B4F9B" w14:textId="77777777" w:rsidR="00AD5525" w:rsidRPr="000010A7" w:rsidRDefault="00AD5525">
            <w:pPr>
              <w:pStyle w:val="Heading5"/>
            </w:pPr>
            <w:r w:rsidRPr="000010A7">
              <w:t>Introduction</w:t>
            </w:r>
          </w:p>
        </w:tc>
        <w:tc>
          <w:tcPr>
            <w:tcW w:w="7740" w:type="dxa"/>
            <w:shd w:val="clear" w:color="auto" w:fill="auto"/>
          </w:tcPr>
          <w:p w14:paraId="6A09C20D" w14:textId="77777777" w:rsidR="00AD5525" w:rsidRPr="000010A7" w:rsidRDefault="00AD5525" w:rsidP="001B1806">
            <w:pPr>
              <w:pStyle w:val="BlockText"/>
            </w:pPr>
            <w:r w:rsidRPr="000010A7">
              <w:t>This topic contains information about weighing the evidence, including</w:t>
            </w:r>
          </w:p>
          <w:p w14:paraId="13665746" w14:textId="77777777" w:rsidR="00AD5525" w:rsidRPr="000010A7" w:rsidRDefault="00AD5525" w:rsidP="001B1806">
            <w:pPr>
              <w:pStyle w:val="BlockText"/>
            </w:pPr>
          </w:p>
          <w:p w14:paraId="582ED725" w14:textId="77777777" w:rsidR="00AD5525" w:rsidRPr="000010A7" w:rsidRDefault="00AD5525">
            <w:pPr>
              <w:pStyle w:val="BulletText1"/>
            </w:pPr>
            <w:r w:rsidRPr="000010A7">
              <w:t>assigning weight to the evidence</w:t>
            </w:r>
          </w:p>
          <w:p w14:paraId="1800818F" w14:textId="77777777" w:rsidR="00AD5525" w:rsidRPr="000010A7" w:rsidRDefault="00AD5525">
            <w:pPr>
              <w:pStyle w:val="BulletText1"/>
            </w:pPr>
            <w:r w:rsidRPr="000010A7">
              <w:t>questions to ask when weighing evidence</w:t>
            </w:r>
          </w:p>
          <w:p w14:paraId="6676F9A1" w14:textId="77777777" w:rsidR="00AD5525" w:rsidRPr="000010A7" w:rsidRDefault="00AD5525">
            <w:pPr>
              <w:pStyle w:val="BulletText1"/>
            </w:pPr>
            <w:r w:rsidRPr="000010A7">
              <w:t>handling imbalanced evidence</w:t>
            </w:r>
          </w:p>
          <w:p w14:paraId="7D53758B" w14:textId="77777777" w:rsidR="00AD5525" w:rsidRPr="000010A7" w:rsidRDefault="00AD5525">
            <w:pPr>
              <w:pStyle w:val="BulletText1"/>
            </w:pPr>
            <w:r w:rsidRPr="000010A7">
              <w:t>handling evidence in equipoise</w:t>
            </w:r>
          </w:p>
          <w:p w14:paraId="05D15075" w14:textId="77777777" w:rsidR="00AD5525" w:rsidRPr="000010A7" w:rsidRDefault="00AD5525">
            <w:pPr>
              <w:pStyle w:val="BulletText1"/>
            </w:pPr>
            <w:r w:rsidRPr="000010A7">
              <w:t>considering reasonable doubt</w:t>
            </w:r>
          </w:p>
          <w:p w14:paraId="4A084ED4" w14:textId="77777777" w:rsidR="00AD5525" w:rsidRPr="000010A7" w:rsidRDefault="00AD5525">
            <w:pPr>
              <w:pStyle w:val="BulletText1"/>
            </w:pPr>
            <w:r w:rsidRPr="000010A7">
              <w:t>an example of evidence in equipoise, and</w:t>
            </w:r>
          </w:p>
          <w:p w14:paraId="3BC4E8F1" w14:textId="77777777" w:rsidR="00AD5525" w:rsidRPr="000010A7" w:rsidRDefault="00AD5525">
            <w:pPr>
              <w:pStyle w:val="BulletText1"/>
            </w:pPr>
            <w:r w:rsidRPr="000010A7">
              <w:t>reaching a conclusion</w:t>
            </w:r>
            <w:r w:rsidR="003D0A79" w:rsidRPr="000010A7">
              <w:t xml:space="preserve"> after weighing evidence</w:t>
            </w:r>
            <w:r w:rsidRPr="000010A7">
              <w:t>.</w:t>
            </w:r>
          </w:p>
        </w:tc>
      </w:tr>
    </w:tbl>
    <w:p w14:paraId="24E7B736" w14:textId="77777777" w:rsidR="00AD5525" w:rsidRPr="000010A7" w:rsidRDefault="00AD5525">
      <w:pPr>
        <w:pStyle w:val="BlockLine"/>
      </w:pPr>
    </w:p>
    <w:tbl>
      <w:tblPr>
        <w:tblW w:w="0" w:type="auto"/>
        <w:tblLayout w:type="fixed"/>
        <w:tblLook w:val="0000" w:firstRow="0" w:lastRow="0" w:firstColumn="0" w:lastColumn="0" w:noHBand="0" w:noVBand="0"/>
      </w:tblPr>
      <w:tblGrid>
        <w:gridCol w:w="1728"/>
        <w:gridCol w:w="7740"/>
      </w:tblGrid>
      <w:tr w:rsidR="00AD5525" w:rsidRPr="000010A7" w14:paraId="66D9E9A0" w14:textId="77777777" w:rsidTr="001B1806">
        <w:trPr>
          <w:cantSplit/>
        </w:trPr>
        <w:tc>
          <w:tcPr>
            <w:tcW w:w="1728" w:type="dxa"/>
            <w:shd w:val="clear" w:color="auto" w:fill="auto"/>
          </w:tcPr>
          <w:p w14:paraId="686C4BA3" w14:textId="77777777" w:rsidR="00AD5525" w:rsidRPr="000010A7" w:rsidRDefault="00AD5525">
            <w:pPr>
              <w:pStyle w:val="Heading5"/>
            </w:pPr>
            <w:r w:rsidRPr="000010A7">
              <w:t>Change Date</w:t>
            </w:r>
          </w:p>
        </w:tc>
        <w:tc>
          <w:tcPr>
            <w:tcW w:w="7740" w:type="dxa"/>
            <w:shd w:val="clear" w:color="auto" w:fill="auto"/>
          </w:tcPr>
          <w:p w14:paraId="1D9E8ED3" w14:textId="425A0D19" w:rsidR="00AD5525" w:rsidRPr="000010A7" w:rsidRDefault="00A53011" w:rsidP="001B1806">
            <w:pPr>
              <w:pStyle w:val="BlockText"/>
            </w:pPr>
            <w:r w:rsidRPr="000010A7">
              <w:t>July 15, 2015</w:t>
            </w:r>
          </w:p>
        </w:tc>
      </w:tr>
    </w:tbl>
    <w:p w14:paraId="50E48913" w14:textId="77777777" w:rsidR="00AD5525" w:rsidRPr="000010A7" w:rsidRDefault="00AD5525">
      <w:pPr>
        <w:pStyle w:val="BlockLine"/>
      </w:pPr>
    </w:p>
    <w:tbl>
      <w:tblPr>
        <w:tblW w:w="0" w:type="auto"/>
        <w:tblLayout w:type="fixed"/>
        <w:tblLook w:val="0000" w:firstRow="0" w:lastRow="0" w:firstColumn="0" w:lastColumn="0" w:noHBand="0" w:noVBand="0"/>
      </w:tblPr>
      <w:tblGrid>
        <w:gridCol w:w="1728"/>
        <w:gridCol w:w="7740"/>
      </w:tblGrid>
      <w:tr w:rsidR="00AD5525" w:rsidRPr="000010A7" w14:paraId="6EF5A82F" w14:textId="77777777" w:rsidTr="001B1806">
        <w:trPr>
          <w:cantSplit/>
        </w:trPr>
        <w:tc>
          <w:tcPr>
            <w:tcW w:w="1728" w:type="dxa"/>
            <w:shd w:val="clear" w:color="auto" w:fill="auto"/>
          </w:tcPr>
          <w:p w14:paraId="6A6B7198" w14:textId="77777777" w:rsidR="00AD5525" w:rsidRPr="000010A7" w:rsidRDefault="00AD5525">
            <w:pPr>
              <w:pStyle w:val="Heading5"/>
            </w:pPr>
            <w:r w:rsidRPr="000010A7">
              <w:t>a.  Assigning Weight to the Evidence</w:t>
            </w:r>
          </w:p>
        </w:tc>
        <w:tc>
          <w:tcPr>
            <w:tcW w:w="7740" w:type="dxa"/>
            <w:shd w:val="clear" w:color="auto" w:fill="auto"/>
          </w:tcPr>
          <w:p w14:paraId="36F1D04D" w14:textId="77777777" w:rsidR="00AD5525" w:rsidRPr="000010A7" w:rsidRDefault="00AD5525" w:rsidP="001B1806">
            <w:pPr>
              <w:pStyle w:val="BlockText"/>
            </w:pPr>
            <w:r w:rsidRPr="000010A7">
              <w:t xml:space="preserve">After assigning weight to the evidence </w:t>
            </w:r>
          </w:p>
          <w:p w14:paraId="75D0EC04" w14:textId="77777777" w:rsidR="00AD5525" w:rsidRPr="000010A7" w:rsidRDefault="00AD5525" w:rsidP="001B1806">
            <w:pPr>
              <w:pStyle w:val="BlockText"/>
            </w:pPr>
          </w:p>
          <w:p w14:paraId="6AFB51AF" w14:textId="77777777" w:rsidR="00AD5525" w:rsidRPr="000010A7" w:rsidRDefault="00AD5525">
            <w:pPr>
              <w:pStyle w:val="BulletText1"/>
            </w:pPr>
            <w:r w:rsidRPr="000010A7">
              <w:t xml:space="preserve">review the evidence in its totality, and </w:t>
            </w:r>
          </w:p>
          <w:p w14:paraId="4679868F" w14:textId="77777777" w:rsidR="00AD5525" w:rsidRPr="000010A7" w:rsidRDefault="00AD5525">
            <w:pPr>
              <w:pStyle w:val="BulletText1"/>
            </w:pPr>
            <w:r w:rsidRPr="000010A7">
              <w:t xml:space="preserve">determine the </w:t>
            </w:r>
            <w:r w:rsidRPr="000010A7">
              <w:rPr>
                <w:i/>
              </w:rPr>
              <w:t>balancing of scales</w:t>
            </w:r>
            <w:r w:rsidRPr="000010A7">
              <w:t>.</w:t>
            </w:r>
          </w:p>
          <w:p w14:paraId="3F2BE9A6" w14:textId="77777777" w:rsidR="00AD5525" w:rsidRPr="000010A7" w:rsidRDefault="00AD5525" w:rsidP="001B1806">
            <w:pPr>
              <w:pStyle w:val="BlockText"/>
            </w:pPr>
          </w:p>
          <w:p w14:paraId="12AF6D02" w14:textId="77777777" w:rsidR="00AD5525" w:rsidRPr="000010A7" w:rsidRDefault="00AD5525" w:rsidP="001B1806">
            <w:pPr>
              <w:pStyle w:val="BlockText"/>
            </w:pPr>
            <w:r w:rsidRPr="000010A7">
              <w:rPr>
                <w:b/>
                <w:i/>
              </w:rPr>
              <w:t>Note</w:t>
            </w:r>
            <w:r w:rsidRPr="000010A7">
              <w:t>:  Do not assign weight unjustly or arbitrarily.</w:t>
            </w:r>
          </w:p>
        </w:tc>
      </w:tr>
    </w:tbl>
    <w:p w14:paraId="614217B2" w14:textId="77777777" w:rsidR="00AD5525" w:rsidRPr="000010A7" w:rsidRDefault="00AD5525">
      <w:pPr>
        <w:pStyle w:val="BlockLine"/>
      </w:pPr>
    </w:p>
    <w:tbl>
      <w:tblPr>
        <w:tblW w:w="0" w:type="auto"/>
        <w:tblLayout w:type="fixed"/>
        <w:tblLook w:val="0000" w:firstRow="0" w:lastRow="0" w:firstColumn="0" w:lastColumn="0" w:noHBand="0" w:noVBand="0"/>
      </w:tblPr>
      <w:tblGrid>
        <w:gridCol w:w="1728"/>
        <w:gridCol w:w="7740"/>
      </w:tblGrid>
      <w:tr w:rsidR="00AD5525" w:rsidRPr="000010A7" w14:paraId="347D61DA" w14:textId="77777777" w:rsidTr="001B1806">
        <w:trPr>
          <w:cantSplit/>
        </w:trPr>
        <w:tc>
          <w:tcPr>
            <w:tcW w:w="1728" w:type="dxa"/>
            <w:shd w:val="clear" w:color="auto" w:fill="auto"/>
          </w:tcPr>
          <w:p w14:paraId="3F93F4D6" w14:textId="77777777" w:rsidR="00AD5525" w:rsidRPr="000010A7" w:rsidRDefault="00AD5525">
            <w:pPr>
              <w:pStyle w:val="Heading5"/>
            </w:pPr>
            <w:r w:rsidRPr="000010A7">
              <w:t>b.  Questions to Ask When Weighing Evidence</w:t>
            </w:r>
          </w:p>
        </w:tc>
        <w:tc>
          <w:tcPr>
            <w:tcW w:w="7740" w:type="dxa"/>
            <w:shd w:val="clear" w:color="auto" w:fill="auto"/>
          </w:tcPr>
          <w:p w14:paraId="2A24822C" w14:textId="54355CC9" w:rsidR="00AD5525" w:rsidRPr="000010A7" w:rsidRDefault="00E4527A" w:rsidP="001B1806">
            <w:pPr>
              <w:pStyle w:val="BlockText"/>
            </w:pPr>
            <w:r w:rsidRPr="000010A7">
              <w:t>Below are examples of</w:t>
            </w:r>
            <w:r w:rsidR="00AD5525" w:rsidRPr="000010A7">
              <w:t xml:space="preserve"> questions </w:t>
            </w:r>
            <w:r w:rsidRPr="000010A7">
              <w:t>that should be asked</w:t>
            </w:r>
            <w:r w:rsidR="00AD5525" w:rsidRPr="000010A7">
              <w:t xml:space="preserve"> when weighing evidence.</w:t>
            </w:r>
          </w:p>
          <w:p w14:paraId="55A28FF3" w14:textId="77777777" w:rsidR="00AD5525" w:rsidRPr="000010A7" w:rsidRDefault="00AD5525" w:rsidP="001B1806">
            <w:pPr>
              <w:pStyle w:val="BlockText"/>
            </w:pPr>
          </w:p>
          <w:p w14:paraId="58793F6F" w14:textId="77777777" w:rsidR="00AD5525" w:rsidRPr="000010A7" w:rsidRDefault="00AD5525">
            <w:pPr>
              <w:pStyle w:val="BulletText1"/>
            </w:pPr>
            <w:r w:rsidRPr="000010A7">
              <w:t>Did the evidence originate in service or in close proximity to service?</w:t>
            </w:r>
          </w:p>
          <w:p w14:paraId="3E835D37" w14:textId="77777777" w:rsidR="00AD5525" w:rsidRPr="000010A7" w:rsidRDefault="00AD5525">
            <w:pPr>
              <w:pStyle w:val="BulletText1"/>
            </w:pPr>
            <w:r w:rsidRPr="000010A7">
              <w:t>Is the medical opinion supported by clinical data</w:t>
            </w:r>
            <w:r w:rsidR="00AA55EE" w:rsidRPr="000010A7">
              <w:t xml:space="preserve"> </w:t>
            </w:r>
            <w:r w:rsidR="00CC58E0" w:rsidRPr="000010A7">
              <w:t>and review of medical records</w:t>
            </w:r>
            <w:r w:rsidRPr="000010A7">
              <w:t>?</w:t>
            </w:r>
          </w:p>
          <w:p w14:paraId="509BE34B" w14:textId="77777777" w:rsidR="00AD5525" w:rsidRPr="000010A7" w:rsidRDefault="00AD5525">
            <w:pPr>
              <w:pStyle w:val="BulletText1"/>
            </w:pPr>
            <w:r w:rsidRPr="000010A7">
              <w:t>How detailed</w:t>
            </w:r>
            <w:r w:rsidR="00E4527A" w:rsidRPr="000010A7">
              <w:t>, clear, or persuasive</w:t>
            </w:r>
            <w:r w:rsidRPr="000010A7">
              <w:t xml:space="preserve"> is the opinion?</w:t>
            </w:r>
          </w:p>
          <w:p w14:paraId="076B85B2" w14:textId="77777777" w:rsidR="00AD5525" w:rsidRPr="000010A7" w:rsidRDefault="00AD5525">
            <w:pPr>
              <w:pStyle w:val="BulletText1"/>
            </w:pPr>
            <w:r w:rsidRPr="000010A7">
              <w:t>Is the opinion based on personal knowledge or on history provided by another person?</w:t>
            </w:r>
          </w:p>
          <w:p w14:paraId="42F4C226" w14:textId="77777777" w:rsidR="0019730A" w:rsidRPr="000010A7" w:rsidRDefault="0019730A" w:rsidP="009D71BB">
            <w:pPr>
              <w:pStyle w:val="BulletText1"/>
              <w:numPr>
                <w:ilvl w:val="0"/>
                <w:numId w:val="0"/>
              </w:numPr>
              <w:ind w:left="173" w:hanging="173"/>
            </w:pPr>
          </w:p>
          <w:p w14:paraId="42C90665" w14:textId="77777777" w:rsidR="0019730A" w:rsidRPr="000010A7" w:rsidRDefault="0019730A" w:rsidP="0019730A">
            <w:pPr>
              <w:pStyle w:val="BulletText1"/>
              <w:numPr>
                <w:ilvl w:val="0"/>
                <w:numId w:val="0"/>
              </w:numPr>
              <w:ind w:left="173" w:hanging="173"/>
            </w:pPr>
            <w:r w:rsidRPr="000010A7">
              <w:rPr>
                <w:b/>
                <w:i/>
              </w:rPr>
              <w:t>Reference</w:t>
            </w:r>
            <w:r w:rsidRPr="000010A7">
              <w:t>:  For more information on weighing medical evidence/opinions, see</w:t>
            </w:r>
          </w:p>
          <w:p w14:paraId="35071B52" w14:textId="77777777" w:rsidR="0019730A" w:rsidRPr="000010A7" w:rsidRDefault="000010A7" w:rsidP="00C17F48">
            <w:pPr>
              <w:pStyle w:val="ListParagraph"/>
              <w:numPr>
                <w:ilvl w:val="0"/>
                <w:numId w:val="12"/>
              </w:numPr>
              <w:ind w:left="158" w:hanging="187"/>
            </w:pPr>
            <w:hyperlink r:id="rId69" w:anchor="bmr" w:history="1">
              <w:r w:rsidR="0019730A" w:rsidRPr="000010A7">
                <w:rPr>
                  <w:rStyle w:val="Hyperlink"/>
                  <w:i/>
                </w:rPr>
                <w:t>Nieves-Rodriguez v. Peake</w:t>
              </w:r>
            </w:hyperlink>
            <w:r w:rsidR="0019730A" w:rsidRPr="000010A7">
              <w:t xml:space="preserve">, 22 </w:t>
            </w:r>
            <w:proofErr w:type="spellStart"/>
            <w:r w:rsidR="0019730A" w:rsidRPr="000010A7">
              <w:t>Vet.App</w:t>
            </w:r>
            <w:proofErr w:type="spellEnd"/>
            <w:r w:rsidR="0019730A" w:rsidRPr="000010A7">
              <w:t xml:space="preserve">. 295 (2008), and </w:t>
            </w:r>
          </w:p>
          <w:p w14:paraId="6CAFEF54" w14:textId="77777777" w:rsidR="0019730A" w:rsidRPr="000010A7" w:rsidRDefault="000010A7" w:rsidP="00C17F48">
            <w:pPr>
              <w:pStyle w:val="ListParagraph"/>
              <w:numPr>
                <w:ilvl w:val="0"/>
                <w:numId w:val="12"/>
              </w:numPr>
              <w:ind w:left="158" w:hanging="187"/>
            </w:pPr>
            <w:hyperlink r:id="rId70" w:anchor="bmr" w:history="1">
              <w:proofErr w:type="spellStart"/>
              <w:r w:rsidR="0019730A" w:rsidRPr="000010A7">
                <w:rPr>
                  <w:rStyle w:val="Hyperlink"/>
                  <w:i/>
                </w:rPr>
                <w:t>Stefl</w:t>
              </w:r>
              <w:proofErr w:type="spellEnd"/>
              <w:r w:rsidR="0019730A" w:rsidRPr="000010A7">
                <w:rPr>
                  <w:rStyle w:val="Hyperlink"/>
                  <w:i/>
                </w:rPr>
                <w:t xml:space="preserve"> v. Nicholson</w:t>
              </w:r>
            </w:hyperlink>
            <w:r w:rsidR="0019730A" w:rsidRPr="000010A7">
              <w:t xml:space="preserve">, 21 </w:t>
            </w:r>
            <w:proofErr w:type="spellStart"/>
            <w:r w:rsidR="0019730A" w:rsidRPr="000010A7">
              <w:t>Vet.App</w:t>
            </w:r>
            <w:proofErr w:type="spellEnd"/>
            <w:r w:rsidR="0019730A" w:rsidRPr="000010A7">
              <w:t xml:space="preserve">. 120 (2007).  </w:t>
            </w:r>
          </w:p>
        </w:tc>
      </w:tr>
    </w:tbl>
    <w:p w14:paraId="491FB718" w14:textId="77777777" w:rsidR="00AD5525" w:rsidRPr="000010A7" w:rsidRDefault="00AD5525">
      <w:pPr>
        <w:pStyle w:val="BlockLine"/>
      </w:pPr>
    </w:p>
    <w:tbl>
      <w:tblPr>
        <w:tblW w:w="0" w:type="auto"/>
        <w:tblLayout w:type="fixed"/>
        <w:tblLook w:val="0000" w:firstRow="0" w:lastRow="0" w:firstColumn="0" w:lastColumn="0" w:noHBand="0" w:noVBand="0"/>
      </w:tblPr>
      <w:tblGrid>
        <w:gridCol w:w="1728"/>
        <w:gridCol w:w="7740"/>
      </w:tblGrid>
      <w:tr w:rsidR="00AD5525" w:rsidRPr="000010A7" w14:paraId="289DCDAA" w14:textId="77777777" w:rsidTr="001B1806">
        <w:trPr>
          <w:cantSplit/>
        </w:trPr>
        <w:tc>
          <w:tcPr>
            <w:tcW w:w="1728" w:type="dxa"/>
            <w:shd w:val="clear" w:color="auto" w:fill="auto"/>
          </w:tcPr>
          <w:p w14:paraId="60BFF7D2" w14:textId="77777777" w:rsidR="00AD5525" w:rsidRPr="000010A7" w:rsidRDefault="00AD5525">
            <w:pPr>
              <w:pStyle w:val="Heading5"/>
            </w:pPr>
            <w:r w:rsidRPr="000010A7">
              <w:t>c.  Handling Imbalanced Evidence</w:t>
            </w:r>
          </w:p>
        </w:tc>
        <w:tc>
          <w:tcPr>
            <w:tcW w:w="7740" w:type="dxa"/>
            <w:shd w:val="clear" w:color="auto" w:fill="auto"/>
          </w:tcPr>
          <w:p w14:paraId="3F9326E7" w14:textId="77777777" w:rsidR="00AD5525" w:rsidRPr="000010A7" w:rsidRDefault="00AD5525" w:rsidP="001B1806">
            <w:pPr>
              <w:pStyle w:val="BlockText"/>
            </w:pPr>
            <w:r w:rsidRPr="000010A7">
              <w:t>If the evidence shows an overwhelming imbalance, then the evidence requires a decision in that direction, either for or against</w:t>
            </w:r>
            <w:r w:rsidR="0019730A" w:rsidRPr="000010A7">
              <w:t xml:space="preserve"> awarding the claim</w:t>
            </w:r>
            <w:r w:rsidRPr="000010A7">
              <w:t>.</w:t>
            </w:r>
          </w:p>
          <w:p w14:paraId="0B48502D" w14:textId="77777777" w:rsidR="00AD5525" w:rsidRPr="000010A7" w:rsidRDefault="00AD5525" w:rsidP="001B1806">
            <w:pPr>
              <w:pStyle w:val="BlockText"/>
            </w:pPr>
          </w:p>
          <w:p w14:paraId="7038832B" w14:textId="1E355D38" w:rsidR="00AD5525" w:rsidRPr="000010A7" w:rsidRDefault="00AD5525" w:rsidP="001B1806">
            <w:pPr>
              <w:pStyle w:val="BlockText"/>
            </w:pPr>
            <w:r w:rsidRPr="000010A7">
              <w:rPr>
                <w:b/>
                <w:bCs/>
                <w:i/>
                <w:iCs/>
              </w:rPr>
              <w:t>Note</w:t>
            </w:r>
            <w:r w:rsidRPr="000010A7">
              <w:t xml:space="preserve">:  The claim must be </w:t>
            </w:r>
            <w:r w:rsidR="00CD750C" w:rsidRPr="000010A7">
              <w:t>award</w:t>
            </w:r>
            <w:r w:rsidRPr="000010A7">
              <w:t>ed if all of the evidence is favorable.</w:t>
            </w:r>
          </w:p>
          <w:p w14:paraId="430D0AFF" w14:textId="77777777" w:rsidR="0019730A" w:rsidRPr="000010A7" w:rsidRDefault="0019730A" w:rsidP="001B1806">
            <w:pPr>
              <w:pStyle w:val="BlockText"/>
            </w:pPr>
          </w:p>
          <w:p w14:paraId="666BB492" w14:textId="77777777" w:rsidR="0019730A" w:rsidRPr="000010A7" w:rsidRDefault="0019730A" w:rsidP="0019730A">
            <w:pPr>
              <w:pStyle w:val="BlockText"/>
            </w:pPr>
            <w:r w:rsidRPr="000010A7">
              <w:rPr>
                <w:b/>
                <w:i/>
              </w:rPr>
              <w:t>Reference</w:t>
            </w:r>
            <w:r w:rsidRPr="000010A7">
              <w:t>:  For more information on awarding benefits when all of the evidence is favorable, see</w:t>
            </w:r>
          </w:p>
          <w:p w14:paraId="4CFB405F" w14:textId="77777777" w:rsidR="0019730A" w:rsidRPr="000010A7" w:rsidRDefault="000010A7" w:rsidP="00C17F48">
            <w:pPr>
              <w:pStyle w:val="ListParagraph"/>
              <w:numPr>
                <w:ilvl w:val="0"/>
                <w:numId w:val="13"/>
              </w:numPr>
              <w:ind w:left="158" w:hanging="187"/>
            </w:pPr>
            <w:hyperlink r:id="rId71" w:anchor="bmm" w:history="1">
              <w:proofErr w:type="spellStart"/>
              <w:r w:rsidR="0019730A" w:rsidRPr="000010A7">
                <w:rPr>
                  <w:rStyle w:val="Hyperlink"/>
                  <w:i/>
                </w:rPr>
                <w:t>Traut</w:t>
              </w:r>
              <w:proofErr w:type="spellEnd"/>
              <w:r w:rsidR="0019730A" w:rsidRPr="000010A7">
                <w:rPr>
                  <w:rStyle w:val="Hyperlink"/>
                  <w:i/>
                </w:rPr>
                <w:t xml:space="preserve"> v. Brown</w:t>
              </w:r>
            </w:hyperlink>
            <w:r w:rsidR="0019730A" w:rsidRPr="000010A7">
              <w:t xml:space="preserve">, 6 </w:t>
            </w:r>
            <w:proofErr w:type="spellStart"/>
            <w:r w:rsidR="0019730A" w:rsidRPr="000010A7">
              <w:t>Vet.App</w:t>
            </w:r>
            <w:proofErr w:type="spellEnd"/>
            <w:r w:rsidR="0019730A" w:rsidRPr="000010A7">
              <w:t>. 495 (1994), and</w:t>
            </w:r>
          </w:p>
          <w:p w14:paraId="5DE1559A" w14:textId="77777777" w:rsidR="0019730A" w:rsidRPr="000010A7" w:rsidRDefault="000010A7" w:rsidP="00C17F48">
            <w:pPr>
              <w:pStyle w:val="ListParagraph"/>
              <w:numPr>
                <w:ilvl w:val="0"/>
                <w:numId w:val="13"/>
              </w:numPr>
              <w:ind w:left="158" w:hanging="187"/>
            </w:pPr>
            <w:hyperlink r:id="rId72" w:anchor="bmm" w:history="1">
              <w:r w:rsidR="0019730A" w:rsidRPr="000010A7">
                <w:rPr>
                  <w:rStyle w:val="Hyperlink"/>
                  <w:i/>
                </w:rPr>
                <w:t>Rose v. West</w:t>
              </w:r>
            </w:hyperlink>
            <w:r w:rsidR="0019730A" w:rsidRPr="000010A7">
              <w:t xml:space="preserve">, 11 </w:t>
            </w:r>
            <w:proofErr w:type="spellStart"/>
            <w:r w:rsidR="0019730A" w:rsidRPr="000010A7">
              <w:t>Vet.App</w:t>
            </w:r>
            <w:proofErr w:type="spellEnd"/>
            <w:r w:rsidR="0019730A" w:rsidRPr="000010A7">
              <w:t xml:space="preserve">. 169 (1998).  </w:t>
            </w:r>
          </w:p>
        </w:tc>
      </w:tr>
    </w:tbl>
    <w:p w14:paraId="48E7A8A2" w14:textId="77777777" w:rsidR="00AD5525" w:rsidRPr="000010A7" w:rsidRDefault="00AD5525">
      <w:pPr>
        <w:pStyle w:val="BlockLine"/>
      </w:pPr>
    </w:p>
    <w:tbl>
      <w:tblPr>
        <w:tblW w:w="0" w:type="auto"/>
        <w:tblLayout w:type="fixed"/>
        <w:tblLook w:val="0000" w:firstRow="0" w:lastRow="0" w:firstColumn="0" w:lastColumn="0" w:noHBand="0" w:noVBand="0"/>
      </w:tblPr>
      <w:tblGrid>
        <w:gridCol w:w="1728"/>
        <w:gridCol w:w="7740"/>
      </w:tblGrid>
      <w:tr w:rsidR="00AD5525" w:rsidRPr="000010A7" w14:paraId="2DBBB173" w14:textId="77777777" w:rsidTr="001B1806">
        <w:trPr>
          <w:cantSplit/>
        </w:trPr>
        <w:tc>
          <w:tcPr>
            <w:tcW w:w="1728" w:type="dxa"/>
            <w:shd w:val="clear" w:color="auto" w:fill="auto"/>
          </w:tcPr>
          <w:p w14:paraId="7A3D1954" w14:textId="77777777" w:rsidR="00AD5525" w:rsidRPr="000010A7" w:rsidRDefault="00AD5525">
            <w:pPr>
              <w:pStyle w:val="Heading5"/>
            </w:pPr>
            <w:r w:rsidRPr="000010A7">
              <w:t>d.  Handling Evidence in Equipoise</w:t>
            </w:r>
          </w:p>
        </w:tc>
        <w:tc>
          <w:tcPr>
            <w:tcW w:w="7740" w:type="dxa"/>
            <w:shd w:val="clear" w:color="auto" w:fill="auto"/>
          </w:tcPr>
          <w:p w14:paraId="15019A7D" w14:textId="0045EACA" w:rsidR="00AD5525" w:rsidRPr="000010A7" w:rsidRDefault="007B134B" w:rsidP="00DF226C">
            <w:pPr>
              <w:pStyle w:val="BlockText"/>
            </w:pPr>
            <w:r w:rsidRPr="000010A7">
              <w:t>As indicated at M21-1, Part III, Subpart iv, 5.1.k, r</w:t>
            </w:r>
            <w:r w:rsidR="00AD5525" w:rsidRPr="000010A7">
              <w:t xml:space="preserve">esolve reasonable doubt in </w:t>
            </w:r>
            <w:r w:rsidR="00AD5525" w:rsidRPr="000010A7">
              <w:rPr>
                <w:i/>
              </w:rPr>
              <w:t>favor</w:t>
            </w:r>
            <w:r w:rsidR="00AD5525" w:rsidRPr="000010A7">
              <w:t xml:space="preserve"> of the claimant if all procurable evidence, after being weighed, is found in approximate balance or equipoise.  </w:t>
            </w:r>
            <w:hyperlink r:id="rId73" w:history="1">
              <w:r w:rsidR="006720E3" w:rsidRPr="000010A7">
                <w:rPr>
                  <w:rStyle w:val="Hyperlink"/>
                </w:rPr>
                <w:t>38 CFR</w:t>
              </w:r>
              <w:r w:rsidR="005D3CC3" w:rsidRPr="000010A7">
                <w:rPr>
                  <w:rStyle w:val="Hyperlink"/>
                </w:rPr>
                <w:t xml:space="preserve"> 3</w:t>
              </w:r>
              <w:r w:rsidR="00AD5525" w:rsidRPr="000010A7">
                <w:rPr>
                  <w:rStyle w:val="Hyperlink"/>
                </w:rPr>
                <w:t>.102</w:t>
              </w:r>
            </w:hyperlink>
            <w:r w:rsidR="00AD5525" w:rsidRPr="000010A7">
              <w:t xml:space="preserve"> dictates that the </w:t>
            </w:r>
            <w:r w:rsidR="00865D9A" w:rsidRPr="000010A7">
              <w:t>Veteran</w:t>
            </w:r>
            <w:r w:rsidR="00AD5525" w:rsidRPr="000010A7">
              <w:t xml:space="preserve"> prevails when the evidence neither satisfactorily proves nor disproves an issue.</w:t>
            </w:r>
          </w:p>
          <w:p w14:paraId="79906155" w14:textId="77777777" w:rsidR="00AD5525" w:rsidRPr="000010A7" w:rsidRDefault="00AD5525" w:rsidP="001B1806">
            <w:pPr>
              <w:pStyle w:val="BlockText"/>
            </w:pPr>
          </w:p>
          <w:p w14:paraId="32F2F55D" w14:textId="77777777" w:rsidR="00AD5525" w:rsidRPr="000010A7" w:rsidRDefault="00AD5525" w:rsidP="001B1806">
            <w:pPr>
              <w:pStyle w:val="BlockText"/>
            </w:pPr>
            <w:r w:rsidRPr="000010A7">
              <w:rPr>
                <w:b/>
                <w:i/>
              </w:rPr>
              <w:t>Reference</w:t>
            </w:r>
            <w:r w:rsidRPr="000010A7">
              <w:t xml:space="preserve">:  For more information on applying reasonable doubt, see </w:t>
            </w:r>
            <w:hyperlink r:id="rId74" w:anchor="bma" w:history="1">
              <w:proofErr w:type="spellStart"/>
              <w:r w:rsidRPr="000010A7">
                <w:rPr>
                  <w:rStyle w:val="Hyperlink"/>
                  <w:i/>
                </w:rPr>
                <w:t>Alemany</w:t>
              </w:r>
              <w:proofErr w:type="spellEnd"/>
              <w:r w:rsidRPr="000010A7">
                <w:rPr>
                  <w:rStyle w:val="Hyperlink"/>
                  <w:i/>
                </w:rPr>
                <w:t xml:space="preserve"> v. Brown</w:t>
              </w:r>
            </w:hyperlink>
            <w:r w:rsidRPr="000010A7">
              <w:t>, 9 Vet. App. 518 (1996).</w:t>
            </w:r>
          </w:p>
        </w:tc>
      </w:tr>
    </w:tbl>
    <w:p w14:paraId="14935941" w14:textId="77777777" w:rsidR="00AD5525" w:rsidRPr="000010A7" w:rsidRDefault="00AD5525">
      <w:pPr>
        <w:pStyle w:val="BlockLine"/>
      </w:pPr>
    </w:p>
    <w:tbl>
      <w:tblPr>
        <w:tblW w:w="0" w:type="auto"/>
        <w:tblLayout w:type="fixed"/>
        <w:tblLook w:val="0000" w:firstRow="0" w:lastRow="0" w:firstColumn="0" w:lastColumn="0" w:noHBand="0" w:noVBand="0"/>
      </w:tblPr>
      <w:tblGrid>
        <w:gridCol w:w="1728"/>
        <w:gridCol w:w="7740"/>
      </w:tblGrid>
      <w:tr w:rsidR="00AD5525" w:rsidRPr="000010A7" w14:paraId="19738AB7" w14:textId="77777777" w:rsidTr="001B1806">
        <w:trPr>
          <w:cantSplit/>
        </w:trPr>
        <w:tc>
          <w:tcPr>
            <w:tcW w:w="1728" w:type="dxa"/>
            <w:shd w:val="clear" w:color="auto" w:fill="auto"/>
          </w:tcPr>
          <w:p w14:paraId="73D3C93C" w14:textId="77777777" w:rsidR="00AD5525" w:rsidRPr="000010A7" w:rsidRDefault="00AD5525">
            <w:pPr>
              <w:pStyle w:val="Heading5"/>
            </w:pPr>
            <w:r w:rsidRPr="000010A7">
              <w:t>e.  Considering Reasonable Doubt</w:t>
            </w:r>
          </w:p>
        </w:tc>
        <w:tc>
          <w:tcPr>
            <w:tcW w:w="7740" w:type="dxa"/>
            <w:shd w:val="clear" w:color="auto" w:fill="auto"/>
          </w:tcPr>
          <w:p w14:paraId="1EDBEC99" w14:textId="77777777" w:rsidR="00AD5525" w:rsidRPr="000010A7" w:rsidRDefault="00AD5525" w:rsidP="001B1806">
            <w:pPr>
              <w:pStyle w:val="BlockText"/>
            </w:pPr>
            <w:r w:rsidRPr="000010A7">
              <w:t xml:space="preserve">Consider reasonable doubt </w:t>
            </w:r>
            <w:r w:rsidRPr="000010A7">
              <w:rPr>
                <w:i/>
              </w:rPr>
              <w:t>only</w:t>
            </w:r>
            <w:r w:rsidRPr="000010A7">
              <w:t xml:space="preserve"> when the evidence is in equipoise, </w:t>
            </w:r>
            <w:r w:rsidRPr="000010A7">
              <w:rPr>
                <w:i/>
              </w:rPr>
              <w:t>not</w:t>
            </w:r>
            <w:r w:rsidRPr="000010A7">
              <w:t xml:space="preserve"> when the evidence weighs either in favor or against the claimant.</w:t>
            </w:r>
          </w:p>
          <w:p w14:paraId="76106F56" w14:textId="77777777" w:rsidR="00B90DE6" w:rsidRPr="000010A7" w:rsidRDefault="00B90DE6" w:rsidP="001B1806">
            <w:pPr>
              <w:pStyle w:val="BlockText"/>
            </w:pPr>
          </w:p>
          <w:p w14:paraId="6F8C3A90" w14:textId="77777777" w:rsidR="00E26DF4" w:rsidRPr="000010A7" w:rsidRDefault="00B90DE6" w:rsidP="001B1806">
            <w:pPr>
              <w:pStyle w:val="BlockText"/>
            </w:pPr>
            <w:r w:rsidRPr="000010A7">
              <w:rPr>
                <w:b/>
                <w:i/>
              </w:rPr>
              <w:t>Note</w:t>
            </w:r>
            <w:r w:rsidR="003E31B0" w:rsidRPr="000010A7">
              <w:rPr>
                <w:b/>
                <w:i/>
              </w:rPr>
              <w:t>s</w:t>
            </w:r>
            <w:r w:rsidRPr="000010A7">
              <w:t xml:space="preserve">:  </w:t>
            </w:r>
          </w:p>
          <w:p w14:paraId="71AF9DF8" w14:textId="77777777" w:rsidR="00E26DF4" w:rsidRPr="000010A7" w:rsidRDefault="00EF546D" w:rsidP="00E26DF4">
            <w:pPr>
              <w:numPr>
                <w:ilvl w:val="0"/>
                <w:numId w:val="42"/>
              </w:numPr>
              <w:ind w:left="158" w:hanging="187"/>
            </w:pPr>
            <w:r w:rsidRPr="000010A7">
              <w:t>Per</w:t>
            </w:r>
            <w:r w:rsidR="00B90DE6" w:rsidRPr="000010A7">
              <w:rPr>
                <w:i/>
              </w:rPr>
              <w:t xml:space="preserve"> </w:t>
            </w:r>
            <w:hyperlink r:id="rId75" w:anchor="bmf" w:history="1">
              <w:r w:rsidR="00B90DE6" w:rsidRPr="000010A7">
                <w:rPr>
                  <w:rStyle w:val="Hyperlink"/>
                  <w:i/>
                </w:rPr>
                <w:t>Fagan v. Shinseki</w:t>
              </w:r>
            </w:hyperlink>
            <w:r w:rsidR="00A11A49" w:rsidRPr="000010A7">
              <w:rPr>
                <w:i/>
              </w:rPr>
              <w:t xml:space="preserve">, </w:t>
            </w:r>
            <w:r w:rsidR="00A11A49" w:rsidRPr="000010A7">
              <w:t>573 F.3d 1282, 1286 (Fed. Cir. 2009)</w:t>
            </w:r>
            <w:r w:rsidR="00B90DE6" w:rsidRPr="000010A7">
              <w:t xml:space="preserve">, </w:t>
            </w:r>
            <w:r w:rsidRPr="000010A7">
              <w:t>a VA examiner’s statement that he/she i</w:t>
            </w:r>
            <w:r w:rsidR="003D0A79" w:rsidRPr="000010A7">
              <w:t>s not able to render an opinion</w:t>
            </w:r>
          </w:p>
          <w:p w14:paraId="794C3671" w14:textId="77777777" w:rsidR="00E26DF4" w:rsidRPr="000010A7" w:rsidRDefault="00EF546D" w:rsidP="00E26DF4">
            <w:pPr>
              <w:numPr>
                <w:ilvl w:val="0"/>
                <w:numId w:val="45"/>
              </w:numPr>
              <w:ind w:left="346" w:hanging="187"/>
            </w:pPr>
            <w:r w:rsidRPr="000010A7">
              <w:t>provides neither positive nor negative support for the claim</w:t>
            </w:r>
            <w:r w:rsidR="003D0A79" w:rsidRPr="000010A7">
              <w:t>,</w:t>
            </w:r>
            <w:r w:rsidRPr="000010A7">
              <w:t xml:space="preserve"> and</w:t>
            </w:r>
          </w:p>
          <w:p w14:paraId="7BD176EC" w14:textId="77777777" w:rsidR="00B90DE6" w:rsidRPr="000010A7" w:rsidRDefault="00EF546D" w:rsidP="00E26DF4">
            <w:pPr>
              <w:numPr>
                <w:ilvl w:val="0"/>
                <w:numId w:val="45"/>
              </w:numPr>
              <w:ind w:left="346" w:hanging="187"/>
            </w:pPr>
            <w:r w:rsidRPr="000010A7">
              <w:t>does not trigger the application of reasonable doubt.</w:t>
            </w:r>
          </w:p>
          <w:p w14:paraId="2DCC2EE7" w14:textId="77777777" w:rsidR="0019730A" w:rsidRPr="000010A7" w:rsidRDefault="0019730A" w:rsidP="00E26DF4">
            <w:pPr>
              <w:numPr>
                <w:ilvl w:val="0"/>
                <w:numId w:val="46"/>
              </w:numPr>
              <w:ind w:left="158" w:hanging="187"/>
            </w:pPr>
            <w:r w:rsidRPr="000010A7">
              <w:t xml:space="preserve">Do not characterize an examiner’s statement of being unable to render an opinion as “non-evidence.”  Refer to such evidence in the decision narrative in such terms as having neither positive nor negative value.  </w:t>
            </w:r>
          </w:p>
          <w:p w14:paraId="0D300E71" w14:textId="77777777" w:rsidR="0019730A" w:rsidRPr="000010A7" w:rsidRDefault="0019730A" w:rsidP="0019730A">
            <w:pPr>
              <w:pStyle w:val="BulletText1"/>
              <w:numPr>
                <w:ilvl w:val="0"/>
                <w:numId w:val="0"/>
              </w:numPr>
              <w:ind w:left="173" w:hanging="173"/>
            </w:pPr>
          </w:p>
          <w:p w14:paraId="07A6B336" w14:textId="77777777" w:rsidR="0019730A" w:rsidRPr="000010A7" w:rsidRDefault="0019730A" w:rsidP="0019730A">
            <w:pPr>
              <w:pStyle w:val="BlockText"/>
              <w:rPr>
                <w:rStyle w:val="Hyperlink"/>
              </w:rPr>
            </w:pPr>
            <w:r w:rsidRPr="000010A7">
              <w:rPr>
                <w:b/>
                <w:i/>
              </w:rPr>
              <w:t>Reference</w:t>
            </w:r>
            <w:r w:rsidRPr="000010A7">
              <w:t xml:space="preserve">:  For more information </w:t>
            </w:r>
            <w:r w:rsidR="00985478" w:rsidRPr="000010A7">
              <w:t>on discussing the reasonable</w:t>
            </w:r>
            <w:r w:rsidRPr="000010A7">
              <w:t xml:space="preserve"> doubt rule, see </w:t>
            </w:r>
          </w:p>
          <w:p w14:paraId="2135CDE6" w14:textId="77777777" w:rsidR="0019730A" w:rsidRPr="000010A7" w:rsidRDefault="000010A7" w:rsidP="00C17F48">
            <w:pPr>
              <w:pStyle w:val="ListParagraph"/>
              <w:numPr>
                <w:ilvl w:val="0"/>
                <w:numId w:val="14"/>
              </w:numPr>
              <w:ind w:left="158" w:hanging="187"/>
            </w:pPr>
            <w:hyperlink r:id="rId76" w:anchor="bmm" w:history="1">
              <w:r w:rsidR="0019730A" w:rsidRPr="000010A7">
                <w:rPr>
                  <w:rStyle w:val="Hyperlink"/>
                  <w:i/>
                </w:rPr>
                <w:t xml:space="preserve">Gilbert v. </w:t>
              </w:r>
              <w:proofErr w:type="spellStart"/>
              <w:r w:rsidR="0019730A" w:rsidRPr="000010A7">
                <w:rPr>
                  <w:rStyle w:val="Hyperlink"/>
                  <w:i/>
                </w:rPr>
                <w:t>Derwinski</w:t>
              </w:r>
              <w:proofErr w:type="spellEnd"/>
            </w:hyperlink>
            <w:r w:rsidR="00985478" w:rsidRPr="000010A7">
              <w:t xml:space="preserve">, 1 </w:t>
            </w:r>
            <w:proofErr w:type="spellStart"/>
            <w:r w:rsidR="00985478" w:rsidRPr="000010A7">
              <w:t>Vet.App</w:t>
            </w:r>
            <w:proofErr w:type="spellEnd"/>
            <w:r w:rsidR="00985478" w:rsidRPr="000010A7">
              <w:t>. 49 (1990)</w:t>
            </w:r>
            <w:r w:rsidR="0019730A" w:rsidRPr="000010A7">
              <w:t xml:space="preserve"> </w:t>
            </w:r>
          </w:p>
          <w:p w14:paraId="2828BBA2" w14:textId="77777777" w:rsidR="00985478" w:rsidRPr="000010A7" w:rsidRDefault="000010A7" w:rsidP="00C17F48">
            <w:pPr>
              <w:pStyle w:val="ListParagraph"/>
              <w:numPr>
                <w:ilvl w:val="0"/>
                <w:numId w:val="14"/>
              </w:numPr>
              <w:ind w:left="158" w:hanging="187"/>
            </w:pPr>
            <w:hyperlink r:id="rId77" w:anchor="bmm" w:history="1">
              <w:r w:rsidR="0019730A" w:rsidRPr="000010A7">
                <w:rPr>
                  <w:rStyle w:val="Hyperlink"/>
                  <w:i/>
                </w:rPr>
                <w:t xml:space="preserve">Ortiz v. </w:t>
              </w:r>
              <w:proofErr w:type="spellStart"/>
              <w:r w:rsidR="0019730A" w:rsidRPr="000010A7">
                <w:rPr>
                  <w:rStyle w:val="Hyperlink"/>
                  <w:i/>
                </w:rPr>
                <w:t>Principi</w:t>
              </w:r>
              <w:proofErr w:type="spellEnd"/>
            </w:hyperlink>
            <w:r w:rsidR="0019730A" w:rsidRPr="000010A7">
              <w:t xml:space="preserve">, </w:t>
            </w:r>
            <w:r w:rsidR="00985478" w:rsidRPr="000010A7">
              <w:t>274 F. 3d 1361 (Fed. Cir. 2001), and</w:t>
            </w:r>
          </w:p>
          <w:p w14:paraId="3DB30FD7" w14:textId="77777777" w:rsidR="0019730A" w:rsidRPr="000010A7" w:rsidRDefault="00985478" w:rsidP="00C17F48">
            <w:pPr>
              <w:pStyle w:val="ListParagraph"/>
              <w:numPr>
                <w:ilvl w:val="0"/>
                <w:numId w:val="14"/>
              </w:numPr>
              <w:ind w:left="158" w:hanging="187"/>
            </w:pPr>
            <w:r w:rsidRPr="000010A7">
              <w:t>M21-1, Part III, Subpart iv, 5.1.</w:t>
            </w:r>
            <w:r w:rsidR="0019730A" w:rsidRPr="000010A7">
              <w:t xml:space="preserve">  </w:t>
            </w:r>
          </w:p>
        </w:tc>
      </w:tr>
    </w:tbl>
    <w:p w14:paraId="009D5FA2" w14:textId="77777777" w:rsidR="00AD5525" w:rsidRPr="000010A7" w:rsidRDefault="00AD5525">
      <w:pPr>
        <w:pStyle w:val="BlockLine"/>
      </w:pPr>
    </w:p>
    <w:tbl>
      <w:tblPr>
        <w:tblW w:w="0" w:type="auto"/>
        <w:tblLayout w:type="fixed"/>
        <w:tblLook w:val="0000" w:firstRow="0" w:lastRow="0" w:firstColumn="0" w:lastColumn="0" w:noHBand="0" w:noVBand="0"/>
      </w:tblPr>
      <w:tblGrid>
        <w:gridCol w:w="1728"/>
        <w:gridCol w:w="7740"/>
      </w:tblGrid>
      <w:tr w:rsidR="00AD5525" w:rsidRPr="000010A7" w14:paraId="7D07FA4B" w14:textId="77777777" w:rsidTr="00E26DF4">
        <w:tc>
          <w:tcPr>
            <w:tcW w:w="1728" w:type="dxa"/>
            <w:shd w:val="clear" w:color="auto" w:fill="auto"/>
          </w:tcPr>
          <w:p w14:paraId="306A7277" w14:textId="154CF8C3" w:rsidR="00AD5525" w:rsidRPr="000010A7" w:rsidRDefault="00AD5525">
            <w:pPr>
              <w:pStyle w:val="Heading5"/>
            </w:pPr>
            <w:proofErr w:type="gramStart"/>
            <w:r w:rsidRPr="000010A7">
              <w:t>f.  Example</w:t>
            </w:r>
            <w:proofErr w:type="gramEnd"/>
            <w:r w:rsidR="00756371" w:rsidRPr="000010A7">
              <w:t>:</w:t>
            </w:r>
            <w:r w:rsidRPr="000010A7">
              <w:t xml:space="preserve"> </w:t>
            </w:r>
            <w:r w:rsidR="00756371" w:rsidRPr="000010A7">
              <w:t xml:space="preserve"> </w:t>
            </w:r>
            <w:r w:rsidRPr="000010A7">
              <w:t>Evidence in Equipoise</w:t>
            </w:r>
          </w:p>
        </w:tc>
        <w:tc>
          <w:tcPr>
            <w:tcW w:w="7740" w:type="dxa"/>
            <w:shd w:val="clear" w:color="auto" w:fill="auto"/>
          </w:tcPr>
          <w:p w14:paraId="7EB603F0" w14:textId="77777777" w:rsidR="00AD5525" w:rsidRPr="000010A7" w:rsidRDefault="00AD5525" w:rsidP="001B1806">
            <w:pPr>
              <w:pStyle w:val="BlockText"/>
            </w:pPr>
            <w:r w:rsidRPr="000010A7">
              <w:t>In the following example</w:t>
            </w:r>
            <w:r w:rsidR="00E36BE6" w:rsidRPr="000010A7">
              <w:t>,</w:t>
            </w:r>
            <w:r w:rsidRPr="000010A7">
              <w:t xml:space="preserve"> there is no compelling justification to side with either expert:  </w:t>
            </w:r>
          </w:p>
          <w:p w14:paraId="27C2092F" w14:textId="77777777" w:rsidR="00AD5525" w:rsidRPr="000010A7" w:rsidRDefault="00AD5525" w:rsidP="001B1806">
            <w:pPr>
              <w:pStyle w:val="BlockText"/>
            </w:pPr>
          </w:p>
          <w:p w14:paraId="59E71D06" w14:textId="4AEA6909" w:rsidR="00AD5525" w:rsidRPr="000010A7" w:rsidRDefault="00AD5525" w:rsidP="001B1806">
            <w:pPr>
              <w:pStyle w:val="BlockText"/>
            </w:pPr>
            <w:r w:rsidRPr="000010A7">
              <w:t xml:space="preserve">Evidence supportive of the claim includes the July 1991 opinion of Dr. T., who treated the </w:t>
            </w:r>
            <w:r w:rsidR="00865D9A" w:rsidRPr="000010A7">
              <w:t>Veteran</w:t>
            </w:r>
            <w:r w:rsidRPr="000010A7">
              <w:t xml:space="preserve"> for several years prior to his death, that</w:t>
            </w:r>
            <w:r w:rsidR="00985478" w:rsidRPr="000010A7">
              <w:t xml:space="preserve"> posttraumatic stress disorder</w:t>
            </w:r>
            <w:r w:rsidRPr="000010A7">
              <w:t xml:space="preserve"> </w:t>
            </w:r>
            <w:r w:rsidR="00985478" w:rsidRPr="000010A7">
              <w:t>(</w:t>
            </w:r>
            <w:r w:rsidRPr="000010A7">
              <w:t>PTSD</w:t>
            </w:r>
            <w:r w:rsidR="00985478" w:rsidRPr="000010A7">
              <w:t>)</w:t>
            </w:r>
            <w:r w:rsidRPr="000010A7">
              <w:t xml:space="preserve"> had been the major factor in the </w:t>
            </w:r>
            <w:r w:rsidR="00865D9A" w:rsidRPr="000010A7">
              <w:t>Veteran</w:t>
            </w:r>
            <w:r w:rsidRPr="000010A7">
              <w:t xml:space="preserve">’s suicide.  Evidence against the claim includes the January 1992 opinion of the VA physician that the evidence did not point to PTSD as the actual cause of suicide and that the </w:t>
            </w:r>
            <w:r w:rsidR="00865D9A" w:rsidRPr="000010A7">
              <w:t>Veteran</w:t>
            </w:r>
            <w:r w:rsidRPr="000010A7">
              <w:t>’s suicide had occurred in the setting of alcohol dependence, family breakdown, and depression.</w:t>
            </w:r>
          </w:p>
          <w:p w14:paraId="12515DED" w14:textId="77777777" w:rsidR="0019730A" w:rsidRPr="000010A7" w:rsidRDefault="0019730A" w:rsidP="001B1806">
            <w:pPr>
              <w:pStyle w:val="BlockText"/>
            </w:pPr>
          </w:p>
          <w:p w14:paraId="568D1268" w14:textId="46429A7A" w:rsidR="0019730A" w:rsidRPr="000010A7" w:rsidRDefault="00E26DF4" w:rsidP="003E31B0">
            <w:pPr>
              <w:pStyle w:val="BlockText"/>
            </w:pPr>
            <w:r w:rsidRPr="000010A7">
              <w:t xml:space="preserve">An award of </w:t>
            </w:r>
            <w:r w:rsidR="003E31B0" w:rsidRPr="000010A7">
              <w:t xml:space="preserve">service connection </w:t>
            </w:r>
            <w:r w:rsidR="00985478" w:rsidRPr="000010A7">
              <w:t xml:space="preserve">for PTSD </w:t>
            </w:r>
            <w:r w:rsidRPr="000010A7">
              <w:t>is warranted</w:t>
            </w:r>
            <w:r w:rsidR="0019730A" w:rsidRPr="000010A7">
              <w:t xml:space="preserve"> based upon the </w:t>
            </w:r>
            <w:r w:rsidR="00985478" w:rsidRPr="000010A7">
              <w:t>facts of this case</w:t>
            </w:r>
            <w:r w:rsidR="0019730A" w:rsidRPr="000010A7">
              <w:t xml:space="preserve"> as the evidentiary balance is in equipoise.  </w:t>
            </w:r>
          </w:p>
        </w:tc>
      </w:tr>
    </w:tbl>
    <w:p w14:paraId="3619F945" w14:textId="77777777" w:rsidR="00AD5525" w:rsidRPr="000010A7" w:rsidRDefault="00AD5525">
      <w:pPr>
        <w:pStyle w:val="BlockLine"/>
      </w:pPr>
    </w:p>
    <w:tbl>
      <w:tblPr>
        <w:tblW w:w="0" w:type="auto"/>
        <w:tblLayout w:type="fixed"/>
        <w:tblLook w:val="0000" w:firstRow="0" w:lastRow="0" w:firstColumn="0" w:lastColumn="0" w:noHBand="0" w:noVBand="0"/>
      </w:tblPr>
      <w:tblGrid>
        <w:gridCol w:w="1728"/>
        <w:gridCol w:w="7740"/>
      </w:tblGrid>
      <w:tr w:rsidR="00AD5525" w:rsidRPr="000010A7" w14:paraId="0C9E0AE9" w14:textId="77777777" w:rsidTr="001B1806">
        <w:trPr>
          <w:cantSplit/>
        </w:trPr>
        <w:tc>
          <w:tcPr>
            <w:tcW w:w="1728" w:type="dxa"/>
            <w:shd w:val="clear" w:color="auto" w:fill="auto"/>
          </w:tcPr>
          <w:p w14:paraId="1D7CA6CF" w14:textId="77777777" w:rsidR="00AD5525" w:rsidRPr="000010A7" w:rsidRDefault="00AD5525">
            <w:pPr>
              <w:pStyle w:val="Heading5"/>
            </w:pPr>
            <w:r w:rsidRPr="000010A7">
              <w:t>g.  Reaching a Conclusion</w:t>
            </w:r>
            <w:r w:rsidR="003D0A79" w:rsidRPr="000010A7">
              <w:t xml:space="preserve"> After Weighing Evidence</w:t>
            </w:r>
          </w:p>
        </w:tc>
        <w:tc>
          <w:tcPr>
            <w:tcW w:w="7740" w:type="dxa"/>
            <w:shd w:val="clear" w:color="auto" w:fill="auto"/>
          </w:tcPr>
          <w:p w14:paraId="52180567" w14:textId="042D1EA7" w:rsidR="00AD5525" w:rsidRPr="000010A7" w:rsidRDefault="00E36BE6" w:rsidP="001B1806">
            <w:pPr>
              <w:pStyle w:val="BlockText"/>
            </w:pPr>
            <w:r w:rsidRPr="000010A7">
              <w:t>After</w:t>
            </w:r>
            <w:r w:rsidR="00AD5525" w:rsidRPr="000010A7">
              <w:t xml:space="preserve"> weighing the evidence to reach a conclusion</w:t>
            </w:r>
            <w:r w:rsidR="00632D1B" w:rsidRPr="000010A7">
              <w:t>,</w:t>
            </w:r>
          </w:p>
          <w:p w14:paraId="7E940EB7" w14:textId="77777777" w:rsidR="00AD5525" w:rsidRPr="000010A7" w:rsidRDefault="00AD5525" w:rsidP="001B1806">
            <w:pPr>
              <w:pStyle w:val="BlockText"/>
            </w:pPr>
          </w:p>
          <w:p w14:paraId="11057B91" w14:textId="77777777" w:rsidR="00AD5525" w:rsidRPr="000010A7" w:rsidRDefault="00AD5525">
            <w:pPr>
              <w:pStyle w:val="BulletText1"/>
            </w:pPr>
            <w:r w:rsidRPr="000010A7">
              <w:t>discuss the evidence in favor of the claim</w:t>
            </w:r>
          </w:p>
          <w:p w14:paraId="1A623189" w14:textId="77777777" w:rsidR="00AD5525" w:rsidRPr="000010A7" w:rsidRDefault="00AD5525">
            <w:pPr>
              <w:pStyle w:val="BulletText1"/>
            </w:pPr>
            <w:r w:rsidRPr="000010A7">
              <w:t>discuss the evidence against the claim</w:t>
            </w:r>
            <w:r w:rsidR="000E4DB8" w:rsidRPr="000010A7">
              <w:t xml:space="preserve"> to include any negative evidence</w:t>
            </w:r>
            <w:r w:rsidRPr="000010A7">
              <w:t xml:space="preserve">, and </w:t>
            </w:r>
          </w:p>
          <w:p w14:paraId="44130FAA" w14:textId="77777777" w:rsidR="00AD5525" w:rsidRPr="000010A7" w:rsidRDefault="00AD5525">
            <w:pPr>
              <w:pStyle w:val="BulletText1"/>
            </w:pPr>
            <w:r w:rsidRPr="000010A7">
              <w:t>explain that</w:t>
            </w:r>
          </w:p>
          <w:p w14:paraId="2A4CBDC2" w14:textId="77777777" w:rsidR="00AD5525" w:rsidRPr="000010A7" w:rsidRDefault="00AD5525">
            <w:pPr>
              <w:pStyle w:val="BulletText2"/>
            </w:pPr>
            <w:r w:rsidRPr="000010A7">
              <w:t>one set of evidence outweighs the other set, or</w:t>
            </w:r>
          </w:p>
          <w:p w14:paraId="5D187C83" w14:textId="77777777" w:rsidR="00EE5267" w:rsidRPr="000010A7" w:rsidRDefault="00AD5525" w:rsidP="00EE5267">
            <w:pPr>
              <w:pStyle w:val="BulletText2"/>
            </w:pPr>
            <w:r w:rsidRPr="000010A7">
              <w:t>the evidence is in equal balance for and against the claim.</w:t>
            </w:r>
          </w:p>
          <w:p w14:paraId="0F6DA0E8" w14:textId="77777777" w:rsidR="0019730A" w:rsidRPr="000010A7" w:rsidRDefault="0019730A" w:rsidP="009D71BB">
            <w:pPr>
              <w:pStyle w:val="BulletText2"/>
              <w:numPr>
                <w:ilvl w:val="0"/>
                <w:numId w:val="0"/>
              </w:numPr>
              <w:ind w:left="360" w:hanging="187"/>
            </w:pPr>
          </w:p>
          <w:p w14:paraId="7BC2ACA9" w14:textId="77777777" w:rsidR="0019730A" w:rsidRPr="000010A7" w:rsidRDefault="0019730A" w:rsidP="0019730A">
            <w:pPr>
              <w:pStyle w:val="BlockText"/>
            </w:pPr>
            <w:r w:rsidRPr="000010A7">
              <w:rPr>
                <w:b/>
                <w:i/>
              </w:rPr>
              <w:t>Reference</w:t>
            </w:r>
            <w:r w:rsidRPr="000010A7">
              <w:t>:  For more information on negative evidence, see</w:t>
            </w:r>
          </w:p>
          <w:p w14:paraId="7666BB10" w14:textId="77777777" w:rsidR="0019730A" w:rsidRPr="000010A7" w:rsidRDefault="000010A7" w:rsidP="009D71BB">
            <w:pPr>
              <w:pStyle w:val="BulletText1"/>
            </w:pPr>
            <w:hyperlink r:id="rId78" w:anchor="bmf" w:history="1">
              <w:proofErr w:type="spellStart"/>
              <w:r w:rsidR="0019730A" w:rsidRPr="000010A7">
                <w:rPr>
                  <w:rStyle w:val="Hyperlink"/>
                  <w:i/>
                </w:rPr>
                <w:t>Forshey</w:t>
              </w:r>
              <w:proofErr w:type="spellEnd"/>
              <w:r w:rsidR="0019730A" w:rsidRPr="000010A7">
                <w:rPr>
                  <w:rStyle w:val="Hyperlink"/>
                  <w:i/>
                </w:rPr>
                <w:t xml:space="preserve"> v. </w:t>
              </w:r>
              <w:proofErr w:type="spellStart"/>
              <w:r w:rsidR="0019730A" w:rsidRPr="000010A7">
                <w:rPr>
                  <w:rStyle w:val="Hyperlink"/>
                  <w:i/>
                </w:rPr>
                <w:t>Principi</w:t>
              </w:r>
              <w:proofErr w:type="spellEnd"/>
            </w:hyperlink>
            <w:r w:rsidR="0019730A" w:rsidRPr="000010A7">
              <w:t>,</w:t>
            </w:r>
            <w:r w:rsidR="00985478" w:rsidRPr="000010A7">
              <w:t xml:space="preserve"> </w:t>
            </w:r>
            <w:r w:rsidR="0019730A" w:rsidRPr="000010A7">
              <w:t>284 F.3d 1335 (Fed. Cir. 2002) (</w:t>
            </w:r>
            <w:proofErr w:type="spellStart"/>
            <w:r w:rsidR="0019730A" w:rsidRPr="000010A7">
              <w:t>en</w:t>
            </w:r>
            <w:proofErr w:type="spellEnd"/>
            <w:r w:rsidR="0019730A" w:rsidRPr="000010A7">
              <w:t xml:space="preserve"> banc), and</w:t>
            </w:r>
          </w:p>
          <w:p w14:paraId="5E2355C3" w14:textId="77777777" w:rsidR="0019730A" w:rsidRPr="000010A7" w:rsidRDefault="000010A7" w:rsidP="009D71BB">
            <w:pPr>
              <w:pStyle w:val="BulletText1"/>
            </w:pPr>
            <w:hyperlink r:id="rId79" w:anchor="bmm" w:history="1">
              <w:proofErr w:type="spellStart"/>
              <w:r w:rsidR="0019730A" w:rsidRPr="000010A7">
                <w:rPr>
                  <w:rStyle w:val="Hyperlink"/>
                  <w:i/>
                </w:rPr>
                <w:t>Maxson</w:t>
              </w:r>
              <w:proofErr w:type="spellEnd"/>
              <w:r w:rsidR="0019730A" w:rsidRPr="000010A7">
                <w:rPr>
                  <w:rStyle w:val="Hyperlink"/>
                  <w:i/>
                </w:rPr>
                <w:t xml:space="preserve"> v. </w:t>
              </w:r>
              <w:proofErr w:type="spellStart"/>
              <w:r w:rsidR="0019730A" w:rsidRPr="000010A7">
                <w:rPr>
                  <w:rStyle w:val="Hyperlink"/>
                  <w:i/>
                </w:rPr>
                <w:t>Gober</w:t>
              </w:r>
              <w:proofErr w:type="spellEnd"/>
            </w:hyperlink>
            <w:r w:rsidR="0019730A" w:rsidRPr="000010A7">
              <w:t>, 230 F.3d 1330 (Fed. Cir. 2000).</w:t>
            </w:r>
          </w:p>
        </w:tc>
      </w:tr>
    </w:tbl>
    <w:p w14:paraId="261543CB" w14:textId="77777777" w:rsidR="00AD5525" w:rsidRPr="000010A7" w:rsidRDefault="00AD5525">
      <w:pPr>
        <w:pStyle w:val="BlockLine"/>
      </w:pPr>
    </w:p>
    <w:p w14:paraId="18D69099" w14:textId="7A5584C9" w:rsidR="00AD5525" w:rsidRPr="000010A7" w:rsidRDefault="00AD5525">
      <w:pPr>
        <w:pStyle w:val="Heading4"/>
      </w:pPr>
      <w:r w:rsidRPr="000010A7">
        <w:br w:type="page"/>
        <w:t>1</w:t>
      </w:r>
      <w:r w:rsidR="00985478" w:rsidRPr="000010A7">
        <w:t>0</w:t>
      </w:r>
      <w:r w:rsidRPr="000010A7">
        <w:t xml:space="preserve">.  </w:t>
      </w:r>
      <w:r w:rsidR="004D40FC" w:rsidRPr="000010A7">
        <w:t>Decision Making Principles</w:t>
      </w:r>
    </w:p>
    <w:p w14:paraId="7A760CDA" w14:textId="77777777" w:rsidR="00AD5525" w:rsidRPr="000010A7" w:rsidRDefault="00AD5525">
      <w:pPr>
        <w:pStyle w:val="BlockLine"/>
      </w:pPr>
    </w:p>
    <w:tbl>
      <w:tblPr>
        <w:tblW w:w="0" w:type="auto"/>
        <w:tblLayout w:type="fixed"/>
        <w:tblLook w:val="0000" w:firstRow="0" w:lastRow="0" w:firstColumn="0" w:lastColumn="0" w:noHBand="0" w:noVBand="0"/>
      </w:tblPr>
      <w:tblGrid>
        <w:gridCol w:w="1728"/>
        <w:gridCol w:w="7740"/>
      </w:tblGrid>
      <w:tr w:rsidR="00AD5525" w:rsidRPr="000010A7" w14:paraId="6A5E1411" w14:textId="77777777" w:rsidTr="001B1806">
        <w:trPr>
          <w:cantSplit/>
        </w:trPr>
        <w:tc>
          <w:tcPr>
            <w:tcW w:w="1728" w:type="dxa"/>
            <w:shd w:val="clear" w:color="auto" w:fill="auto"/>
          </w:tcPr>
          <w:p w14:paraId="1DD80E25" w14:textId="77777777" w:rsidR="00AD5525" w:rsidRPr="000010A7" w:rsidRDefault="00AD5525">
            <w:pPr>
              <w:pStyle w:val="Heading5"/>
            </w:pPr>
            <w:r w:rsidRPr="000010A7">
              <w:t>Introduction</w:t>
            </w:r>
          </w:p>
        </w:tc>
        <w:tc>
          <w:tcPr>
            <w:tcW w:w="7740" w:type="dxa"/>
            <w:shd w:val="clear" w:color="auto" w:fill="auto"/>
          </w:tcPr>
          <w:p w14:paraId="04A35A2B" w14:textId="294445BF" w:rsidR="00AD5525" w:rsidRPr="000010A7" w:rsidRDefault="00AD5525" w:rsidP="001B1806">
            <w:pPr>
              <w:pStyle w:val="BlockText"/>
            </w:pPr>
            <w:r w:rsidRPr="000010A7">
              <w:t xml:space="preserve">This topic contains information about </w:t>
            </w:r>
            <w:r w:rsidR="00985478" w:rsidRPr="000010A7">
              <w:t>decision making principles</w:t>
            </w:r>
            <w:r w:rsidRPr="000010A7">
              <w:t>, including</w:t>
            </w:r>
          </w:p>
          <w:p w14:paraId="09C6C3FE" w14:textId="77777777" w:rsidR="00AD5525" w:rsidRPr="000010A7" w:rsidRDefault="00AD5525" w:rsidP="001B1806">
            <w:pPr>
              <w:pStyle w:val="BlockText"/>
            </w:pPr>
          </w:p>
          <w:p w14:paraId="2F9A5C31" w14:textId="6F22B6B6" w:rsidR="00AD5525" w:rsidRPr="000010A7" w:rsidRDefault="004D40FC" w:rsidP="00CD5346">
            <w:pPr>
              <w:pStyle w:val="BulletText1"/>
            </w:pPr>
            <w:r w:rsidRPr="000010A7">
              <w:t>evaluation of evidence, and</w:t>
            </w:r>
          </w:p>
          <w:p w14:paraId="4FCF9A44" w14:textId="77777777" w:rsidR="004D40FC" w:rsidRPr="000010A7" w:rsidRDefault="004D40FC" w:rsidP="00CD5346">
            <w:pPr>
              <w:pStyle w:val="BulletText1"/>
            </w:pPr>
            <w:r w:rsidRPr="000010A7">
              <w:t>decision making in a non-adversarial system.</w:t>
            </w:r>
          </w:p>
        </w:tc>
      </w:tr>
    </w:tbl>
    <w:p w14:paraId="3634C98F" w14:textId="77777777" w:rsidR="00AD5525" w:rsidRPr="000010A7" w:rsidRDefault="00AD5525">
      <w:pPr>
        <w:pStyle w:val="BlockLine"/>
      </w:pPr>
      <w:bookmarkStart w:id="0" w:name="_GoBack"/>
      <w:bookmarkEnd w:id="0"/>
    </w:p>
    <w:tbl>
      <w:tblPr>
        <w:tblW w:w="0" w:type="auto"/>
        <w:tblLayout w:type="fixed"/>
        <w:tblLook w:val="0000" w:firstRow="0" w:lastRow="0" w:firstColumn="0" w:lastColumn="0" w:noHBand="0" w:noVBand="0"/>
      </w:tblPr>
      <w:tblGrid>
        <w:gridCol w:w="1728"/>
        <w:gridCol w:w="7740"/>
      </w:tblGrid>
      <w:tr w:rsidR="00AD5525" w:rsidRPr="000010A7" w14:paraId="47D3930B" w14:textId="77777777" w:rsidTr="001B1806">
        <w:trPr>
          <w:cantSplit/>
        </w:trPr>
        <w:tc>
          <w:tcPr>
            <w:tcW w:w="1728" w:type="dxa"/>
            <w:shd w:val="clear" w:color="auto" w:fill="auto"/>
          </w:tcPr>
          <w:p w14:paraId="222556AE" w14:textId="77777777" w:rsidR="00AD5525" w:rsidRPr="000010A7" w:rsidRDefault="00AD5525">
            <w:pPr>
              <w:pStyle w:val="Heading5"/>
            </w:pPr>
            <w:r w:rsidRPr="000010A7">
              <w:t>Change Date</w:t>
            </w:r>
          </w:p>
        </w:tc>
        <w:tc>
          <w:tcPr>
            <w:tcW w:w="7740" w:type="dxa"/>
            <w:shd w:val="clear" w:color="auto" w:fill="auto"/>
          </w:tcPr>
          <w:p w14:paraId="0D7B21FD" w14:textId="4FF5818C" w:rsidR="00AD5525" w:rsidRPr="000010A7" w:rsidRDefault="00A53011" w:rsidP="001B1806">
            <w:pPr>
              <w:pStyle w:val="BlockText"/>
            </w:pPr>
            <w:r w:rsidRPr="000010A7">
              <w:t>July 15, 2015</w:t>
            </w:r>
          </w:p>
        </w:tc>
      </w:tr>
    </w:tbl>
    <w:p w14:paraId="1ABCE650" w14:textId="77777777" w:rsidR="00AD5525" w:rsidRPr="000010A7" w:rsidRDefault="00AD5525">
      <w:pPr>
        <w:pStyle w:val="BlockLine"/>
      </w:pPr>
    </w:p>
    <w:tbl>
      <w:tblPr>
        <w:tblW w:w="0" w:type="auto"/>
        <w:tblLayout w:type="fixed"/>
        <w:tblLook w:val="0000" w:firstRow="0" w:lastRow="0" w:firstColumn="0" w:lastColumn="0" w:noHBand="0" w:noVBand="0"/>
      </w:tblPr>
      <w:tblGrid>
        <w:gridCol w:w="1728"/>
        <w:gridCol w:w="7740"/>
      </w:tblGrid>
      <w:tr w:rsidR="00AD5525" w:rsidRPr="000010A7" w14:paraId="38E45B91" w14:textId="77777777" w:rsidTr="009D4BC7">
        <w:tc>
          <w:tcPr>
            <w:tcW w:w="1728" w:type="dxa"/>
            <w:shd w:val="clear" w:color="auto" w:fill="auto"/>
          </w:tcPr>
          <w:p w14:paraId="5BDC5251" w14:textId="7EAEA244" w:rsidR="00AD5525" w:rsidRPr="000010A7" w:rsidRDefault="004D40FC">
            <w:pPr>
              <w:pStyle w:val="Heading5"/>
            </w:pPr>
            <w:proofErr w:type="gramStart"/>
            <w:r w:rsidRPr="000010A7">
              <w:t>a.  Evaluation</w:t>
            </w:r>
            <w:proofErr w:type="gramEnd"/>
            <w:r w:rsidRPr="000010A7">
              <w:t xml:space="preserve"> of Evidence</w:t>
            </w:r>
          </w:p>
        </w:tc>
        <w:tc>
          <w:tcPr>
            <w:tcW w:w="7740" w:type="dxa"/>
            <w:shd w:val="clear" w:color="auto" w:fill="auto"/>
          </w:tcPr>
          <w:p w14:paraId="2E4EE3AA" w14:textId="77777777" w:rsidR="004D40FC" w:rsidRPr="000010A7" w:rsidRDefault="004D40FC" w:rsidP="004D40FC">
            <w:pPr>
              <w:pStyle w:val="BlockText"/>
            </w:pPr>
            <w:r w:rsidRPr="000010A7">
              <w:t>When discussing the evalua</w:t>
            </w:r>
            <w:r w:rsidR="00985478" w:rsidRPr="000010A7">
              <w:t xml:space="preserve">tion of evidence in a decision </w:t>
            </w:r>
            <w:r w:rsidR="00985478" w:rsidRPr="000010A7">
              <w:rPr>
                <w:i/>
              </w:rPr>
              <w:t>N</w:t>
            </w:r>
            <w:r w:rsidRPr="000010A7">
              <w:rPr>
                <w:i/>
              </w:rPr>
              <w:t>arrative</w:t>
            </w:r>
            <w:r w:rsidRPr="000010A7">
              <w:t xml:space="preserve">, VA decision makers are </w:t>
            </w:r>
            <w:r w:rsidRPr="000010A7">
              <w:rPr>
                <w:b/>
                <w:i/>
              </w:rPr>
              <w:t>expected to be appropriately critical of the evidence (including</w:t>
            </w:r>
            <w:r w:rsidR="00985478" w:rsidRPr="000010A7">
              <w:rPr>
                <w:b/>
                <w:i/>
              </w:rPr>
              <w:t xml:space="preserve"> assessing</w:t>
            </w:r>
            <w:r w:rsidRPr="000010A7">
              <w:rPr>
                <w:b/>
                <w:i/>
              </w:rPr>
              <w:t xml:space="preserve"> competency and probative value) and to make credibility determinations when credibility is raised by the available evidence.</w:t>
            </w:r>
            <w:r w:rsidRPr="000010A7">
              <w:rPr>
                <w:i/>
              </w:rPr>
              <w:t xml:space="preserve">  </w:t>
            </w:r>
          </w:p>
          <w:p w14:paraId="2380BC5D" w14:textId="77777777" w:rsidR="004D40FC" w:rsidRPr="000010A7" w:rsidRDefault="004D40FC" w:rsidP="004D40FC">
            <w:pPr>
              <w:pStyle w:val="BlockText"/>
            </w:pPr>
          </w:p>
          <w:p w14:paraId="1CC6F9D4" w14:textId="77777777" w:rsidR="004D40FC" w:rsidRPr="000010A7" w:rsidRDefault="004D40FC" w:rsidP="004D40FC">
            <w:pPr>
              <w:pStyle w:val="BlockText"/>
            </w:pPr>
            <w:r w:rsidRPr="000010A7">
              <w:t xml:space="preserve">Decision makers </w:t>
            </w:r>
            <w:r w:rsidR="00985478" w:rsidRPr="000010A7">
              <w:t>must</w:t>
            </w:r>
          </w:p>
          <w:p w14:paraId="186AFCC8" w14:textId="77777777" w:rsidR="004D40FC" w:rsidRPr="000010A7" w:rsidRDefault="004D40FC" w:rsidP="004D40FC">
            <w:pPr>
              <w:pStyle w:val="BlockText"/>
            </w:pPr>
          </w:p>
          <w:p w14:paraId="5B703210" w14:textId="77777777" w:rsidR="004D40FC" w:rsidRPr="000010A7" w:rsidRDefault="004D40FC" w:rsidP="004D40FC">
            <w:pPr>
              <w:pStyle w:val="BulletText1"/>
            </w:pPr>
            <w:r w:rsidRPr="000010A7">
              <w:t>be objective and fair in the consideration of evidence</w:t>
            </w:r>
          </w:p>
          <w:p w14:paraId="7A3D6C7F" w14:textId="77777777" w:rsidR="004D40FC" w:rsidRPr="000010A7" w:rsidRDefault="004D40FC" w:rsidP="004D40FC">
            <w:pPr>
              <w:pStyle w:val="BulletText1"/>
            </w:pPr>
            <w:r w:rsidRPr="000010A7">
              <w:t>ensure that any inferences, findings, and conclusions made are supported under the facts and law</w:t>
            </w:r>
          </w:p>
          <w:p w14:paraId="2178386D" w14:textId="77777777" w:rsidR="004D40FC" w:rsidRPr="000010A7" w:rsidRDefault="004D40FC" w:rsidP="004D40FC">
            <w:pPr>
              <w:pStyle w:val="BulletText1"/>
            </w:pPr>
            <w:r w:rsidRPr="000010A7">
              <w:t>follow the evidentiary guidance in this chapter</w:t>
            </w:r>
          </w:p>
          <w:p w14:paraId="1C1983D8" w14:textId="77777777" w:rsidR="004D40FC" w:rsidRPr="000010A7" w:rsidRDefault="004D40FC" w:rsidP="004D40FC">
            <w:pPr>
              <w:pStyle w:val="BulletText1"/>
            </w:pPr>
            <w:r w:rsidRPr="000010A7">
              <w:t>be professional and courteous even when claimants are antagonistic, critical, or abusive</w:t>
            </w:r>
          </w:p>
          <w:p w14:paraId="19E3AB92" w14:textId="77777777" w:rsidR="004D40FC" w:rsidRPr="000010A7" w:rsidRDefault="004D40FC" w:rsidP="004D40FC">
            <w:pPr>
              <w:pStyle w:val="BulletText1"/>
            </w:pPr>
            <w:r w:rsidRPr="000010A7">
              <w:t xml:space="preserve">not allow any bias or personal feelings into the evaluation of evidence or the decision  </w:t>
            </w:r>
          </w:p>
          <w:p w14:paraId="4E39B90F" w14:textId="77777777" w:rsidR="004D40FC" w:rsidRPr="000010A7" w:rsidRDefault="004D40FC" w:rsidP="004D40FC">
            <w:pPr>
              <w:pStyle w:val="BulletText1"/>
            </w:pPr>
            <w:r w:rsidRPr="000010A7">
              <w:t xml:space="preserve">not arbitrarily </w:t>
            </w:r>
            <w:r w:rsidR="00985478" w:rsidRPr="000010A7">
              <w:t>or capriciously refuse to assign weight to</w:t>
            </w:r>
            <w:r w:rsidRPr="000010A7">
              <w:t xml:space="preserve"> a claimant’s evidence, and </w:t>
            </w:r>
          </w:p>
          <w:p w14:paraId="177D570F" w14:textId="77777777" w:rsidR="004D40FC" w:rsidRPr="000010A7" w:rsidRDefault="004D40FC" w:rsidP="004D40FC">
            <w:pPr>
              <w:pStyle w:val="BulletText1"/>
            </w:pPr>
            <w:r w:rsidRPr="000010A7">
              <w:t>not adopt or express an adversarial position towards a claimant or beneficiary.</w:t>
            </w:r>
          </w:p>
          <w:p w14:paraId="3E818F6D" w14:textId="77777777" w:rsidR="004D40FC" w:rsidRPr="000010A7" w:rsidRDefault="004D40FC" w:rsidP="004D40FC">
            <w:pPr>
              <w:pStyle w:val="BulletText1"/>
              <w:numPr>
                <w:ilvl w:val="0"/>
                <w:numId w:val="0"/>
              </w:numPr>
              <w:ind w:left="173" w:hanging="173"/>
            </w:pPr>
          </w:p>
          <w:p w14:paraId="0B680C30" w14:textId="77777777" w:rsidR="00985478" w:rsidRPr="000010A7" w:rsidRDefault="004D40FC" w:rsidP="004D40FC">
            <w:pPr>
              <w:pStyle w:val="BlockText"/>
            </w:pPr>
            <w:r w:rsidRPr="000010A7">
              <w:rPr>
                <w:b/>
                <w:i/>
              </w:rPr>
              <w:t>Important</w:t>
            </w:r>
            <w:r w:rsidRPr="000010A7">
              <w:t xml:space="preserve">:  </w:t>
            </w:r>
          </w:p>
          <w:p w14:paraId="31A83AC5" w14:textId="77777777" w:rsidR="00985478" w:rsidRPr="000010A7" w:rsidRDefault="004D40FC" w:rsidP="00C17F48">
            <w:pPr>
              <w:numPr>
                <w:ilvl w:val="0"/>
                <w:numId w:val="36"/>
              </w:numPr>
              <w:ind w:left="158" w:hanging="187"/>
            </w:pPr>
            <w:r w:rsidRPr="000010A7">
              <w:t>Do not refer to the claimant or beneficiary as a liar.  Where evidence is not credible</w:t>
            </w:r>
            <w:r w:rsidR="00985478" w:rsidRPr="000010A7">
              <w:t>,</w:t>
            </w:r>
            <w:r w:rsidRPr="000010A7">
              <w:t xml:space="preserve"> say that and cite facts of record in support.  </w:t>
            </w:r>
          </w:p>
          <w:p w14:paraId="1DE36D49" w14:textId="3C817AAD" w:rsidR="00AD5525" w:rsidRPr="000010A7" w:rsidRDefault="004D40FC" w:rsidP="00C17F48">
            <w:pPr>
              <w:numPr>
                <w:ilvl w:val="0"/>
                <w:numId w:val="36"/>
              </w:numPr>
              <w:ind w:left="158" w:hanging="187"/>
            </w:pPr>
            <w:r w:rsidRPr="000010A7">
              <w:t>Do not minimize the weight of a treating physician’s opinion based upon the idea that he/she has bec</w:t>
            </w:r>
            <w:r w:rsidR="005757AD" w:rsidRPr="000010A7">
              <w:t>ome an advocate for the patient</w:t>
            </w:r>
            <w:r w:rsidRPr="000010A7">
              <w:t xml:space="preserve"> since doing so may appear adversarial and biased.</w:t>
            </w:r>
          </w:p>
        </w:tc>
      </w:tr>
    </w:tbl>
    <w:p w14:paraId="0E3D7F60" w14:textId="77777777" w:rsidR="004D40FC" w:rsidRPr="000010A7" w:rsidRDefault="004D40FC" w:rsidP="004D40FC">
      <w:pPr>
        <w:pStyle w:val="BlockLine"/>
      </w:pPr>
    </w:p>
    <w:tbl>
      <w:tblPr>
        <w:tblW w:w="0" w:type="auto"/>
        <w:tblLook w:val="04A0" w:firstRow="1" w:lastRow="0" w:firstColumn="1" w:lastColumn="0" w:noHBand="0" w:noVBand="1"/>
      </w:tblPr>
      <w:tblGrid>
        <w:gridCol w:w="1728"/>
        <w:gridCol w:w="7740"/>
      </w:tblGrid>
      <w:tr w:rsidR="004D40FC" w:rsidRPr="000010A7" w14:paraId="4AD408AA" w14:textId="77777777" w:rsidTr="0040163C">
        <w:tc>
          <w:tcPr>
            <w:tcW w:w="1728" w:type="dxa"/>
            <w:shd w:val="clear" w:color="auto" w:fill="auto"/>
          </w:tcPr>
          <w:p w14:paraId="684C3A9F" w14:textId="77777777" w:rsidR="004D40FC" w:rsidRPr="000010A7" w:rsidRDefault="000E0079" w:rsidP="004D40FC">
            <w:pPr>
              <w:rPr>
                <w:b/>
                <w:sz w:val="22"/>
              </w:rPr>
            </w:pPr>
            <w:r w:rsidRPr="000010A7">
              <w:rPr>
                <w:b/>
                <w:sz w:val="22"/>
              </w:rPr>
              <w:t>b.  Decision Making in a Non-Adversarial System</w:t>
            </w:r>
          </w:p>
        </w:tc>
        <w:tc>
          <w:tcPr>
            <w:tcW w:w="7740" w:type="dxa"/>
            <w:shd w:val="clear" w:color="auto" w:fill="auto"/>
          </w:tcPr>
          <w:p w14:paraId="4F71E12B" w14:textId="77777777" w:rsidR="000E0079" w:rsidRPr="000010A7" w:rsidRDefault="000E0079" w:rsidP="000E0079">
            <w:pPr>
              <w:pStyle w:val="BlockText"/>
            </w:pPr>
            <w:r w:rsidRPr="000010A7">
              <w:t xml:space="preserve">An </w:t>
            </w:r>
            <w:r w:rsidRPr="000010A7">
              <w:rPr>
                <w:b/>
                <w:i/>
              </w:rPr>
              <w:t>adversarial system</w:t>
            </w:r>
            <w:r w:rsidRPr="000010A7">
              <w:t xml:space="preserve"> involves advocates representing contrary positions before an impartial decision maker.  The VA system is </w:t>
            </w:r>
            <w:r w:rsidRPr="000010A7">
              <w:rPr>
                <w:b/>
                <w:i/>
              </w:rPr>
              <w:t>non-adversarial</w:t>
            </w:r>
            <w:r w:rsidRPr="000010A7">
              <w:t xml:space="preserve">.  There is no advocate on behalf of VA opposing claims and no policy to minimize or deny benefits.  </w:t>
            </w:r>
          </w:p>
          <w:p w14:paraId="5ED80EAD" w14:textId="77777777" w:rsidR="000E0079" w:rsidRPr="000010A7" w:rsidRDefault="000E0079" w:rsidP="000E0079">
            <w:pPr>
              <w:pStyle w:val="BlockText"/>
            </w:pPr>
          </w:p>
          <w:p w14:paraId="21B7FDCF" w14:textId="77777777" w:rsidR="00837C47" w:rsidRPr="000010A7" w:rsidRDefault="000E0079" w:rsidP="000E0079">
            <w:pPr>
              <w:pStyle w:val="BlockText"/>
            </w:pPr>
            <w:r w:rsidRPr="000010A7">
              <w:t xml:space="preserve">Decision makers are expected to be impartial and liberally apply VA’s pro-Veteran policies, procedures, and regulations in accordance with any applicable VA guidance.  </w:t>
            </w:r>
          </w:p>
          <w:p w14:paraId="2A90A473" w14:textId="77777777" w:rsidR="00837C47" w:rsidRPr="000010A7" w:rsidRDefault="00837C47" w:rsidP="000E0079">
            <w:pPr>
              <w:pStyle w:val="BlockText"/>
            </w:pPr>
          </w:p>
          <w:p w14:paraId="0A0196BD" w14:textId="77777777" w:rsidR="000E0079" w:rsidRPr="000010A7" w:rsidRDefault="000E0079" w:rsidP="000E0079">
            <w:pPr>
              <w:pStyle w:val="BlockText"/>
            </w:pPr>
            <w:r w:rsidRPr="000010A7">
              <w:t xml:space="preserve">VA’s policy is to award benefits where supported under the facts and law or when the evidence is in relative equipoise or balance while denying only when we must under the facts and law. </w:t>
            </w:r>
          </w:p>
          <w:p w14:paraId="7A0084A8" w14:textId="77777777" w:rsidR="000E0079" w:rsidRPr="000010A7" w:rsidRDefault="000E0079" w:rsidP="000E0079">
            <w:pPr>
              <w:pStyle w:val="BlockText"/>
            </w:pPr>
          </w:p>
          <w:p w14:paraId="00EE237C" w14:textId="77777777" w:rsidR="004D40FC" w:rsidRPr="000010A7" w:rsidRDefault="000E0079" w:rsidP="000E0079">
            <w:pPr>
              <w:pStyle w:val="BlockText"/>
            </w:pPr>
            <w:r w:rsidRPr="000010A7">
              <w:rPr>
                <w:b/>
                <w:i/>
              </w:rPr>
              <w:t>Reference</w:t>
            </w:r>
            <w:r w:rsidRPr="000010A7">
              <w:t xml:space="preserve">:  For more information on the attitude of the rating officers, see </w:t>
            </w:r>
            <w:hyperlink r:id="rId80" w:history="1">
              <w:r w:rsidRPr="000010A7">
                <w:rPr>
                  <w:rStyle w:val="Hyperlink"/>
                </w:rPr>
                <w:t>38 CFR 4.23</w:t>
              </w:r>
            </w:hyperlink>
            <w:r w:rsidRPr="000010A7">
              <w:t>.</w:t>
            </w:r>
          </w:p>
        </w:tc>
      </w:tr>
    </w:tbl>
    <w:p w14:paraId="435D3993" w14:textId="61CEF458" w:rsidR="00AD5525" w:rsidRPr="001B1806" w:rsidRDefault="00264730" w:rsidP="004D40FC">
      <w:pPr>
        <w:pStyle w:val="BlockLine"/>
      </w:pPr>
      <w:r w:rsidRPr="000010A7">
        <w:fldChar w:fldCharType="begin">
          <w:fldData xml:space="preserve">RABvAGMAVABlAG0AcAAxAFYAYQByAFQAcgBhAGQAaQB0AGkAbwBuAGEAbAA=
</w:fldData>
        </w:fldChar>
      </w:r>
      <w:r w:rsidRPr="000010A7">
        <w:instrText xml:space="preserve"> ADDIN  \* MERGEFORMAT </w:instrText>
      </w:r>
      <w:r w:rsidRPr="000010A7">
        <w:fldChar w:fldCharType="end"/>
      </w:r>
      <w:r w:rsidRPr="000010A7">
        <w:fldChar w:fldCharType="begin">
          <w:fldData xml:space="preserve">RgBvAG4AdABTAGUAdABGAG8AbgB0AFMAZQB0AEYAbwBuAHQAUwBlAHQARgBvAG4AdABTAGUAdABG
AG8AbgB0AFMAZQB0AFMAdABhAG4AZABhAHIAZAA=
</w:fldData>
        </w:fldChar>
      </w:r>
      <w:r w:rsidRPr="000010A7">
        <w:instrText xml:space="preserve"> ADDIN  \* MERGEFORMAT </w:instrText>
      </w:r>
      <w:r w:rsidRPr="000010A7">
        <w:fldChar w:fldCharType="end"/>
      </w:r>
    </w:p>
    <w:sectPr w:rsidR="00AD5525" w:rsidRPr="001B1806" w:rsidSect="001B1806">
      <w:headerReference w:type="even" r:id="rId81"/>
      <w:headerReference w:type="default" r:id="rId82"/>
      <w:footerReference w:type="default" r:id="rId83"/>
      <w:pgSz w:w="12240" w:h="15840"/>
      <w:pgMar w:top="1008" w:right="1440" w:bottom="1008" w:left="1440" w:header="720" w:footer="720" w:gutter="0"/>
      <w:pgNumType w:start="1"/>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DC92A" w14:textId="77777777" w:rsidR="001A7284" w:rsidRDefault="001A7284">
      <w:r>
        <w:separator/>
      </w:r>
    </w:p>
  </w:endnote>
  <w:endnote w:type="continuationSeparator" w:id="0">
    <w:p w14:paraId="2DFB0ED2" w14:textId="77777777" w:rsidR="001A7284" w:rsidRDefault="001A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EC424" w14:textId="77777777" w:rsidR="001A7284" w:rsidRDefault="001A7284">
    <w:pPr>
      <w:pStyle w:val="Footer"/>
      <w:tabs>
        <w:tab w:val="left" w:pos="0"/>
        <w:tab w:val="right" w:pos="9274"/>
      </w:tabs>
    </w:pPr>
    <w:r>
      <w:rPr>
        <w:b/>
        <w:sz w:val="20"/>
      </w:rPr>
      <w:tab/>
    </w:r>
    <w:r>
      <w:rPr>
        <w:b/>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4E2B4" w14:textId="77777777" w:rsidR="001A7284" w:rsidRDefault="001A7284">
      <w:r>
        <w:separator/>
      </w:r>
    </w:p>
  </w:footnote>
  <w:footnote w:type="continuationSeparator" w:id="0">
    <w:p w14:paraId="7FB97456" w14:textId="77777777" w:rsidR="001A7284" w:rsidRDefault="001A7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39A16" w14:textId="77777777" w:rsidR="001A7284" w:rsidRDefault="001A7284">
    <w:pPr>
      <w:pStyle w:val="Header"/>
    </w:pPr>
    <w:r>
      <w:rPr>
        <w:b/>
        <w:sz w:val="20"/>
      </w:rPr>
      <w:t>M21-1, Part III, Subpart iv, Chapter 5</w:t>
    </w:r>
    <w:r>
      <w:rPr>
        <w:b/>
        <w:sz w:val="20"/>
      </w:rPr>
      <w:tab/>
    </w: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9373" w14:textId="77777777" w:rsidR="001A7284" w:rsidRDefault="001A7284">
    <w:pPr>
      <w:pStyle w:val="Header"/>
    </w:pPr>
    <w:r>
      <w:rPr>
        <w:b/>
        <w:sz w:val="20"/>
      </w:rPr>
      <w:tab/>
    </w:r>
    <w:r>
      <w:rPr>
        <w:b/>
        <w:sz w:val="20"/>
      </w:rPr>
      <w:tab/>
      <w:t>M21-1, Part III, Subpart iv, Chapter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fspro_2columns"/>
      </v:shape>
    </w:pict>
  </w:numPicBullet>
  <w:numPicBullet w:numPicBulletId="1">
    <w:pict>
      <v:shape id="_x0000_i1027" type="#_x0000_t75" style="width:12pt;height:12pt" o:bullet="t">
        <v:imagedata r:id="rId2" o:title="advanced"/>
      </v:shape>
    </w:pict>
  </w:numPicBullet>
  <w:numPicBullet w:numPicBulletId="2">
    <w:pict>
      <v:shape id="_x0000_i1028" type="#_x0000_t75" style="width:12pt;height:12pt" o:bullet="t">
        <v:imagedata r:id="rId3" o:title="continue"/>
      </v:shape>
    </w:pict>
  </w:numPicBullet>
  <w:numPicBullet w:numPicBulletId="3">
    <w:pict>
      <v:shape id="_x0000_i1029" type="#_x0000_t75" style="width:12pt;height:12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F85F1B"/>
    <w:multiLevelType w:val="hybridMultilevel"/>
    <w:tmpl w:val="B7A48024"/>
    <w:lvl w:ilvl="0" w:tplc="33B2B2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17836"/>
    <w:multiLevelType w:val="hybridMultilevel"/>
    <w:tmpl w:val="25B03774"/>
    <w:lvl w:ilvl="0" w:tplc="CFF0B48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4B06A1"/>
    <w:multiLevelType w:val="hybridMultilevel"/>
    <w:tmpl w:val="D890BEA4"/>
    <w:lvl w:ilvl="0" w:tplc="3C9CAB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171D7E"/>
    <w:multiLevelType w:val="hybridMultilevel"/>
    <w:tmpl w:val="314445DA"/>
    <w:lvl w:ilvl="0" w:tplc="3C9CAB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C44623"/>
    <w:multiLevelType w:val="hybridMultilevel"/>
    <w:tmpl w:val="F9FE0676"/>
    <w:lvl w:ilvl="0" w:tplc="14683E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054B0C"/>
    <w:multiLevelType w:val="hybridMultilevel"/>
    <w:tmpl w:val="AEE4040E"/>
    <w:lvl w:ilvl="0" w:tplc="3C9CAB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6D5BE6"/>
    <w:multiLevelType w:val="hybridMultilevel"/>
    <w:tmpl w:val="9ED4BCD4"/>
    <w:lvl w:ilvl="0" w:tplc="85FEFF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7959EB"/>
    <w:multiLevelType w:val="hybridMultilevel"/>
    <w:tmpl w:val="CD7CBC6C"/>
    <w:lvl w:ilvl="0" w:tplc="CFF0B48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9E7BD2"/>
    <w:multiLevelType w:val="hybridMultilevel"/>
    <w:tmpl w:val="0F34AC98"/>
    <w:lvl w:ilvl="0" w:tplc="7548B9A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690E34"/>
    <w:multiLevelType w:val="hybridMultilevel"/>
    <w:tmpl w:val="28BC1B6A"/>
    <w:lvl w:ilvl="0" w:tplc="305A4D8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D85099"/>
    <w:multiLevelType w:val="hybridMultilevel"/>
    <w:tmpl w:val="A3380DEA"/>
    <w:lvl w:ilvl="0" w:tplc="305A4D8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CF450E"/>
    <w:multiLevelType w:val="hybridMultilevel"/>
    <w:tmpl w:val="EF96DD72"/>
    <w:lvl w:ilvl="0" w:tplc="967C9A1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8D1CCD"/>
    <w:multiLevelType w:val="hybridMultilevel"/>
    <w:tmpl w:val="21AC0678"/>
    <w:lvl w:ilvl="0" w:tplc="12E43A5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43767D"/>
    <w:multiLevelType w:val="hybridMultilevel"/>
    <w:tmpl w:val="E6283718"/>
    <w:lvl w:ilvl="0" w:tplc="3C9CAB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5A505A"/>
    <w:multiLevelType w:val="hybridMultilevel"/>
    <w:tmpl w:val="BEAC7B66"/>
    <w:lvl w:ilvl="0" w:tplc="CFF0B48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F55141"/>
    <w:multiLevelType w:val="hybridMultilevel"/>
    <w:tmpl w:val="D252462C"/>
    <w:lvl w:ilvl="0" w:tplc="85FEFF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095B03"/>
    <w:multiLevelType w:val="hybridMultilevel"/>
    <w:tmpl w:val="B476A410"/>
    <w:lvl w:ilvl="0" w:tplc="10F874D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3F65B3"/>
    <w:multiLevelType w:val="hybridMultilevel"/>
    <w:tmpl w:val="A6FA7764"/>
    <w:lvl w:ilvl="0" w:tplc="12E43A5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5F7C94"/>
    <w:multiLevelType w:val="hybridMultilevel"/>
    <w:tmpl w:val="17C8AB10"/>
    <w:lvl w:ilvl="0" w:tplc="6AC0AE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6B4740"/>
    <w:multiLevelType w:val="hybridMultilevel"/>
    <w:tmpl w:val="5EA65F10"/>
    <w:lvl w:ilvl="0" w:tplc="8CB0C7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0276CA"/>
    <w:multiLevelType w:val="hybridMultilevel"/>
    <w:tmpl w:val="DDA81FDE"/>
    <w:lvl w:ilvl="0" w:tplc="5DFAAD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F21345"/>
    <w:multiLevelType w:val="hybridMultilevel"/>
    <w:tmpl w:val="A3A0BB26"/>
    <w:lvl w:ilvl="0" w:tplc="6AC0AE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D37F9D"/>
    <w:multiLevelType w:val="hybridMultilevel"/>
    <w:tmpl w:val="EECA6058"/>
    <w:lvl w:ilvl="0" w:tplc="F55203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0E7B8B"/>
    <w:multiLevelType w:val="hybridMultilevel"/>
    <w:tmpl w:val="C188175A"/>
    <w:lvl w:ilvl="0" w:tplc="14683E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457499"/>
    <w:multiLevelType w:val="hybridMultilevel"/>
    <w:tmpl w:val="BC20B202"/>
    <w:lvl w:ilvl="0" w:tplc="DDE2ABE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4088D"/>
    <w:multiLevelType w:val="hybridMultilevel"/>
    <w:tmpl w:val="4FC81CAC"/>
    <w:lvl w:ilvl="0" w:tplc="CFF0B48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C42311"/>
    <w:multiLevelType w:val="hybridMultilevel"/>
    <w:tmpl w:val="F0FCB73A"/>
    <w:lvl w:ilvl="0" w:tplc="3C9CAB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82658F"/>
    <w:multiLevelType w:val="hybridMultilevel"/>
    <w:tmpl w:val="C9625A90"/>
    <w:lvl w:ilvl="0" w:tplc="14683E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8A793B"/>
    <w:multiLevelType w:val="hybridMultilevel"/>
    <w:tmpl w:val="52E0AF8C"/>
    <w:lvl w:ilvl="0" w:tplc="F55203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6C592A"/>
    <w:multiLevelType w:val="hybridMultilevel"/>
    <w:tmpl w:val="B04E3E60"/>
    <w:lvl w:ilvl="0" w:tplc="340042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3238EB"/>
    <w:multiLevelType w:val="hybridMultilevel"/>
    <w:tmpl w:val="9FA89970"/>
    <w:lvl w:ilvl="0" w:tplc="F55203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1B7864"/>
    <w:multiLevelType w:val="hybridMultilevel"/>
    <w:tmpl w:val="EAB82698"/>
    <w:lvl w:ilvl="0" w:tplc="62584E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0B17EE"/>
    <w:multiLevelType w:val="hybridMultilevel"/>
    <w:tmpl w:val="7B6C3F62"/>
    <w:lvl w:ilvl="0" w:tplc="F55203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1A51D9"/>
    <w:multiLevelType w:val="hybridMultilevel"/>
    <w:tmpl w:val="8D1C1760"/>
    <w:lvl w:ilvl="0" w:tplc="305A4D8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DB3D68"/>
    <w:multiLevelType w:val="hybridMultilevel"/>
    <w:tmpl w:val="EAB0E144"/>
    <w:lvl w:ilvl="0" w:tplc="21D42084">
      <w:start w:val="1"/>
      <w:numFmt w:val="bullet"/>
      <w:pStyle w:val="BulletText1"/>
      <w:lvlText w:val=""/>
      <w:lvlJc w:val="left"/>
      <w:pPr>
        <w:tabs>
          <w:tab w:val="num" w:pos="173"/>
        </w:tabs>
        <w:ind w:left="173" w:hanging="173"/>
      </w:pPr>
      <w:rPr>
        <w:rFonts w:ascii="Symbol" w:hAnsi="Symbol" w:hint="default"/>
        <w:color w:val="auto"/>
      </w:rPr>
    </w:lvl>
    <w:lvl w:ilvl="1" w:tplc="90020AD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A40643"/>
    <w:multiLevelType w:val="hybridMultilevel"/>
    <w:tmpl w:val="E1866D40"/>
    <w:lvl w:ilvl="0" w:tplc="F95E1C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D920C1"/>
    <w:multiLevelType w:val="hybridMultilevel"/>
    <w:tmpl w:val="A8228C4A"/>
    <w:lvl w:ilvl="0" w:tplc="7548B9A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FA658F"/>
    <w:multiLevelType w:val="hybridMultilevel"/>
    <w:tmpl w:val="FE3871D8"/>
    <w:lvl w:ilvl="0" w:tplc="340042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162493"/>
    <w:multiLevelType w:val="hybridMultilevel"/>
    <w:tmpl w:val="AEB4CC36"/>
    <w:lvl w:ilvl="0" w:tplc="62584E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3C08F4"/>
    <w:multiLevelType w:val="hybridMultilevel"/>
    <w:tmpl w:val="37842EA8"/>
    <w:lvl w:ilvl="0" w:tplc="340042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DC255F"/>
    <w:multiLevelType w:val="hybridMultilevel"/>
    <w:tmpl w:val="E800F18A"/>
    <w:lvl w:ilvl="0" w:tplc="5DFAAD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B84E0E"/>
    <w:multiLevelType w:val="hybridMultilevel"/>
    <w:tmpl w:val="8782F304"/>
    <w:lvl w:ilvl="0" w:tplc="C66A7D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9862FF"/>
    <w:multiLevelType w:val="hybridMultilevel"/>
    <w:tmpl w:val="31528270"/>
    <w:lvl w:ilvl="0" w:tplc="3BD015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124B4F"/>
    <w:multiLevelType w:val="hybridMultilevel"/>
    <w:tmpl w:val="BC1C25A0"/>
    <w:lvl w:ilvl="0" w:tplc="305A4D8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961E9F"/>
    <w:multiLevelType w:val="hybridMultilevel"/>
    <w:tmpl w:val="BD306756"/>
    <w:lvl w:ilvl="0" w:tplc="10F874D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42"/>
  </w:num>
  <w:num w:numId="4">
    <w:abstractNumId w:val="16"/>
  </w:num>
  <w:num w:numId="5">
    <w:abstractNumId w:val="24"/>
  </w:num>
  <w:num w:numId="6">
    <w:abstractNumId w:val="5"/>
  </w:num>
  <w:num w:numId="7">
    <w:abstractNumId w:val="28"/>
  </w:num>
  <w:num w:numId="8">
    <w:abstractNumId w:val="39"/>
  </w:num>
  <w:num w:numId="9">
    <w:abstractNumId w:val="32"/>
  </w:num>
  <w:num w:numId="10">
    <w:abstractNumId w:val="31"/>
  </w:num>
  <w:num w:numId="11">
    <w:abstractNumId w:val="33"/>
  </w:num>
  <w:num w:numId="12">
    <w:abstractNumId w:val="29"/>
  </w:num>
  <w:num w:numId="13">
    <w:abstractNumId w:val="41"/>
  </w:num>
  <w:num w:numId="14">
    <w:abstractNumId w:val="21"/>
  </w:num>
  <w:num w:numId="15">
    <w:abstractNumId w:val="7"/>
  </w:num>
  <w:num w:numId="16">
    <w:abstractNumId w:val="22"/>
  </w:num>
  <w:num w:numId="17">
    <w:abstractNumId w:val="19"/>
  </w:num>
  <w:num w:numId="18">
    <w:abstractNumId w:val="46"/>
  </w:num>
  <w:num w:numId="19">
    <w:abstractNumId w:val="17"/>
  </w:num>
  <w:num w:numId="20">
    <w:abstractNumId w:val="1"/>
  </w:num>
  <w:num w:numId="21">
    <w:abstractNumId w:val="36"/>
  </w:num>
  <w:num w:numId="22">
    <w:abstractNumId w:val="13"/>
  </w:num>
  <w:num w:numId="23">
    <w:abstractNumId w:val="18"/>
  </w:num>
  <w:num w:numId="24">
    <w:abstractNumId w:val="10"/>
  </w:num>
  <w:num w:numId="25">
    <w:abstractNumId w:val="11"/>
  </w:num>
  <w:num w:numId="26">
    <w:abstractNumId w:val="45"/>
  </w:num>
  <w:num w:numId="27">
    <w:abstractNumId w:val="34"/>
  </w:num>
  <w:num w:numId="28">
    <w:abstractNumId w:val="3"/>
  </w:num>
  <w:num w:numId="29">
    <w:abstractNumId w:val="4"/>
  </w:num>
  <w:num w:numId="30">
    <w:abstractNumId w:val="6"/>
  </w:num>
  <w:num w:numId="31">
    <w:abstractNumId w:val="27"/>
  </w:num>
  <w:num w:numId="32">
    <w:abstractNumId w:val="14"/>
  </w:num>
  <w:num w:numId="33">
    <w:abstractNumId w:val="23"/>
  </w:num>
  <w:num w:numId="34">
    <w:abstractNumId w:val="43"/>
  </w:num>
  <w:num w:numId="35">
    <w:abstractNumId w:val="37"/>
  </w:num>
  <w:num w:numId="36">
    <w:abstractNumId w:val="9"/>
  </w:num>
  <w:num w:numId="37">
    <w:abstractNumId w:val="20"/>
  </w:num>
  <w:num w:numId="38">
    <w:abstractNumId w:val="15"/>
  </w:num>
  <w:num w:numId="39">
    <w:abstractNumId w:val="26"/>
  </w:num>
  <w:num w:numId="40">
    <w:abstractNumId w:val="2"/>
  </w:num>
  <w:num w:numId="41">
    <w:abstractNumId w:val="8"/>
  </w:num>
  <w:num w:numId="42">
    <w:abstractNumId w:val="44"/>
  </w:num>
  <w:num w:numId="43">
    <w:abstractNumId w:val="40"/>
  </w:num>
  <w:num w:numId="44">
    <w:abstractNumId w:val="30"/>
  </w:num>
  <w:num w:numId="45">
    <w:abstractNumId w:val="38"/>
  </w:num>
  <w:num w:numId="46">
    <w:abstractNumId w:val="25"/>
  </w:num>
  <w:num w:numId="47">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emp1Var" w:val="Traditional"/>
    <w:docVar w:name="FontSet" w:val="FontSetFontSetFontSetFontSetStandard"/>
    <w:docVar w:name="XSLPath" w:val="C:\Program Files\Information Mapping\FS Pro 4.1\StyleSheets\"/>
    <w:docVar w:name="XSLstylesheet" w:val="Basic.xsl"/>
  </w:docVars>
  <w:rsids>
    <w:rsidRoot w:val="00AD5525"/>
    <w:rsid w:val="000010A7"/>
    <w:rsid w:val="00006B71"/>
    <w:rsid w:val="00021920"/>
    <w:rsid w:val="00024121"/>
    <w:rsid w:val="00036145"/>
    <w:rsid w:val="00037915"/>
    <w:rsid w:val="00042D99"/>
    <w:rsid w:val="00054E14"/>
    <w:rsid w:val="00086C0B"/>
    <w:rsid w:val="000968DD"/>
    <w:rsid w:val="000C109A"/>
    <w:rsid w:val="000D6C5D"/>
    <w:rsid w:val="000E0079"/>
    <w:rsid w:val="000E4DB8"/>
    <w:rsid w:val="000F3690"/>
    <w:rsid w:val="00117499"/>
    <w:rsid w:val="001368C9"/>
    <w:rsid w:val="001446F3"/>
    <w:rsid w:val="001468A5"/>
    <w:rsid w:val="0019242E"/>
    <w:rsid w:val="0019730A"/>
    <w:rsid w:val="001A17FA"/>
    <w:rsid w:val="001A4B00"/>
    <w:rsid w:val="001A7284"/>
    <w:rsid w:val="001B1806"/>
    <w:rsid w:val="001B5D16"/>
    <w:rsid w:val="001D5E01"/>
    <w:rsid w:val="001D6CC0"/>
    <w:rsid w:val="001F583E"/>
    <w:rsid w:val="001F644C"/>
    <w:rsid w:val="00230DE7"/>
    <w:rsid w:val="00233F38"/>
    <w:rsid w:val="00246D0B"/>
    <w:rsid w:val="00254796"/>
    <w:rsid w:val="00262AB8"/>
    <w:rsid w:val="00263709"/>
    <w:rsid w:val="00264730"/>
    <w:rsid w:val="00270AA9"/>
    <w:rsid w:val="002715BA"/>
    <w:rsid w:val="002734F5"/>
    <w:rsid w:val="00274708"/>
    <w:rsid w:val="0027726E"/>
    <w:rsid w:val="00280C6F"/>
    <w:rsid w:val="00284F88"/>
    <w:rsid w:val="00285E15"/>
    <w:rsid w:val="0028792E"/>
    <w:rsid w:val="002922B4"/>
    <w:rsid w:val="00292DB6"/>
    <w:rsid w:val="002930E1"/>
    <w:rsid w:val="002958A3"/>
    <w:rsid w:val="002A5497"/>
    <w:rsid w:val="002B4DFA"/>
    <w:rsid w:val="002D5698"/>
    <w:rsid w:val="002E6E1D"/>
    <w:rsid w:val="0031140B"/>
    <w:rsid w:val="00325DF0"/>
    <w:rsid w:val="00337E40"/>
    <w:rsid w:val="00341E78"/>
    <w:rsid w:val="003560B4"/>
    <w:rsid w:val="00363BCF"/>
    <w:rsid w:val="00392503"/>
    <w:rsid w:val="003B09BF"/>
    <w:rsid w:val="003C3126"/>
    <w:rsid w:val="003C5DE9"/>
    <w:rsid w:val="003C79C2"/>
    <w:rsid w:val="003D0A79"/>
    <w:rsid w:val="003D3544"/>
    <w:rsid w:val="003D6F4B"/>
    <w:rsid w:val="003E31B0"/>
    <w:rsid w:val="003F2536"/>
    <w:rsid w:val="0040163C"/>
    <w:rsid w:val="004048FA"/>
    <w:rsid w:val="004056A5"/>
    <w:rsid w:val="004160EB"/>
    <w:rsid w:val="00420953"/>
    <w:rsid w:val="00422459"/>
    <w:rsid w:val="004240B0"/>
    <w:rsid w:val="00434F47"/>
    <w:rsid w:val="004650BB"/>
    <w:rsid w:val="00466693"/>
    <w:rsid w:val="0049784C"/>
    <w:rsid w:val="004A7107"/>
    <w:rsid w:val="004A71FE"/>
    <w:rsid w:val="004D14E3"/>
    <w:rsid w:val="004D40FC"/>
    <w:rsid w:val="004E5273"/>
    <w:rsid w:val="004E5D76"/>
    <w:rsid w:val="004E6378"/>
    <w:rsid w:val="004F51B4"/>
    <w:rsid w:val="00510713"/>
    <w:rsid w:val="00513088"/>
    <w:rsid w:val="00541A55"/>
    <w:rsid w:val="00541D37"/>
    <w:rsid w:val="00542D2E"/>
    <w:rsid w:val="00553FC9"/>
    <w:rsid w:val="005552EB"/>
    <w:rsid w:val="005757AD"/>
    <w:rsid w:val="00576C37"/>
    <w:rsid w:val="005A1873"/>
    <w:rsid w:val="005C64DC"/>
    <w:rsid w:val="005C6987"/>
    <w:rsid w:val="005D130F"/>
    <w:rsid w:val="005D3CC3"/>
    <w:rsid w:val="005D477A"/>
    <w:rsid w:val="005D691C"/>
    <w:rsid w:val="005E2FE3"/>
    <w:rsid w:val="005E77F4"/>
    <w:rsid w:val="005F6BF6"/>
    <w:rsid w:val="00614BB8"/>
    <w:rsid w:val="00632D1B"/>
    <w:rsid w:val="00641DB8"/>
    <w:rsid w:val="00643CE5"/>
    <w:rsid w:val="006666A9"/>
    <w:rsid w:val="006720E3"/>
    <w:rsid w:val="00672335"/>
    <w:rsid w:val="00673392"/>
    <w:rsid w:val="006A0460"/>
    <w:rsid w:val="006B465C"/>
    <w:rsid w:val="006C07CB"/>
    <w:rsid w:val="006D1FB5"/>
    <w:rsid w:val="00703A9C"/>
    <w:rsid w:val="0071289D"/>
    <w:rsid w:val="00714726"/>
    <w:rsid w:val="00722C26"/>
    <w:rsid w:val="007270ED"/>
    <w:rsid w:val="00741C5C"/>
    <w:rsid w:val="00746A27"/>
    <w:rsid w:val="00756371"/>
    <w:rsid w:val="00764C38"/>
    <w:rsid w:val="007674EC"/>
    <w:rsid w:val="007A578D"/>
    <w:rsid w:val="007B134B"/>
    <w:rsid w:val="007B48E5"/>
    <w:rsid w:val="007C77CF"/>
    <w:rsid w:val="007D59A7"/>
    <w:rsid w:val="007E4E5D"/>
    <w:rsid w:val="007E5E22"/>
    <w:rsid w:val="007F4F11"/>
    <w:rsid w:val="00805920"/>
    <w:rsid w:val="00817DE6"/>
    <w:rsid w:val="00837C47"/>
    <w:rsid w:val="00865D9A"/>
    <w:rsid w:val="008673DF"/>
    <w:rsid w:val="00875CDE"/>
    <w:rsid w:val="00883FF6"/>
    <w:rsid w:val="008967E6"/>
    <w:rsid w:val="008A3D64"/>
    <w:rsid w:val="008A40FA"/>
    <w:rsid w:val="008A52BD"/>
    <w:rsid w:val="008D226D"/>
    <w:rsid w:val="008F2B1D"/>
    <w:rsid w:val="008F6BB4"/>
    <w:rsid w:val="00902C2C"/>
    <w:rsid w:val="00924732"/>
    <w:rsid w:val="00926BB8"/>
    <w:rsid w:val="00934203"/>
    <w:rsid w:val="0094151E"/>
    <w:rsid w:val="00942E46"/>
    <w:rsid w:val="00947D3B"/>
    <w:rsid w:val="00970E97"/>
    <w:rsid w:val="00974941"/>
    <w:rsid w:val="00981554"/>
    <w:rsid w:val="00981B72"/>
    <w:rsid w:val="00985478"/>
    <w:rsid w:val="009A22E2"/>
    <w:rsid w:val="009A2700"/>
    <w:rsid w:val="009B46BA"/>
    <w:rsid w:val="009D2160"/>
    <w:rsid w:val="009D4BC7"/>
    <w:rsid w:val="009D71BB"/>
    <w:rsid w:val="009E40F3"/>
    <w:rsid w:val="00A11A49"/>
    <w:rsid w:val="00A151B9"/>
    <w:rsid w:val="00A15CA6"/>
    <w:rsid w:val="00A50EF8"/>
    <w:rsid w:val="00A53011"/>
    <w:rsid w:val="00A62C32"/>
    <w:rsid w:val="00A70C14"/>
    <w:rsid w:val="00A752BF"/>
    <w:rsid w:val="00A77D8F"/>
    <w:rsid w:val="00AA55EE"/>
    <w:rsid w:val="00AA6EE9"/>
    <w:rsid w:val="00AB4907"/>
    <w:rsid w:val="00AB7F9B"/>
    <w:rsid w:val="00AC1044"/>
    <w:rsid w:val="00AC29BF"/>
    <w:rsid w:val="00AD0EF9"/>
    <w:rsid w:val="00AD5525"/>
    <w:rsid w:val="00AD617E"/>
    <w:rsid w:val="00AE4168"/>
    <w:rsid w:val="00B00FEE"/>
    <w:rsid w:val="00B02202"/>
    <w:rsid w:val="00B02E11"/>
    <w:rsid w:val="00B0643C"/>
    <w:rsid w:val="00B14092"/>
    <w:rsid w:val="00B2474D"/>
    <w:rsid w:val="00B26D38"/>
    <w:rsid w:val="00B31800"/>
    <w:rsid w:val="00B34461"/>
    <w:rsid w:val="00B55169"/>
    <w:rsid w:val="00B70DCF"/>
    <w:rsid w:val="00B90DE6"/>
    <w:rsid w:val="00B96530"/>
    <w:rsid w:val="00BA26BE"/>
    <w:rsid w:val="00BB2F44"/>
    <w:rsid w:val="00BB33FB"/>
    <w:rsid w:val="00BB5F51"/>
    <w:rsid w:val="00BB7CC3"/>
    <w:rsid w:val="00BC191C"/>
    <w:rsid w:val="00BC6611"/>
    <w:rsid w:val="00BC68F4"/>
    <w:rsid w:val="00BE7922"/>
    <w:rsid w:val="00C02033"/>
    <w:rsid w:val="00C060B0"/>
    <w:rsid w:val="00C17F48"/>
    <w:rsid w:val="00C31E25"/>
    <w:rsid w:val="00C37E44"/>
    <w:rsid w:val="00C507E6"/>
    <w:rsid w:val="00C51896"/>
    <w:rsid w:val="00C528C3"/>
    <w:rsid w:val="00C530C4"/>
    <w:rsid w:val="00CB6389"/>
    <w:rsid w:val="00CB696B"/>
    <w:rsid w:val="00CC58E0"/>
    <w:rsid w:val="00CD44C0"/>
    <w:rsid w:val="00CD5346"/>
    <w:rsid w:val="00CD750C"/>
    <w:rsid w:val="00CE5A37"/>
    <w:rsid w:val="00CE78C5"/>
    <w:rsid w:val="00CF1506"/>
    <w:rsid w:val="00CF2156"/>
    <w:rsid w:val="00CF26FC"/>
    <w:rsid w:val="00CF3968"/>
    <w:rsid w:val="00D21A76"/>
    <w:rsid w:val="00D4627A"/>
    <w:rsid w:val="00D56E76"/>
    <w:rsid w:val="00D7715A"/>
    <w:rsid w:val="00D85A3C"/>
    <w:rsid w:val="00D866DD"/>
    <w:rsid w:val="00DA42AB"/>
    <w:rsid w:val="00DA6A39"/>
    <w:rsid w:val="00DB3748"/>
    <w:rsid w:val="00DC6E72"/>
    <w:rsid w:val="00DE0C4E"/>
    <w:rsid w:val="00DE7693"/>
    <w:rsid w:val="00DF226C"/>
    <w:rsid w:val="00DF2BF8"/>
    <w:rsid w:val="00E136B5"/>
    <w:rsid w:val="00E14049"/>
    <w:rsid w:val="00E16060"/>
    <w:rsid w:val="00E26DF4"/>
    <w:rsid w:val="00E36BE6"/>
    <w:rsid w:val="00E4527A"/>
    <w:rsid w:val="00E51965"/>
    <w:rsid w:val="00E62FD4"/>
    <w:rsid w:val="00E65F8E"/>
    <w:rsid w:val="00E71CB8"/>
    <w:rsid w:val="00E85841"/>
    <w:rsid w:val="00E92651"/>
    <w:rsid w:val="00E9449D"/>
    <w:rsid w:val="00EB105B"/>
    <w:rsid w:val="00EB28A9"/>
    <w:rsid w:val="00EB691B"/>
    <w:rsid w:val="00EC1D30"/>
    <w:rsid w:val="00EC64BE"/>
    <w:rsid w:val="00EE5267"/>
    <w:rsid w:val="00EE66C3"/>
    <w:rsid w:val="00EF0A76"/>
    <w:rsid w:val="00EF546D"/>
    <w:rsid w:val="00F04DD3"/>
    <w:rsid w:val="00F178D3"/>
    <w:rsid w:val="00F24946"/>
    <w:rsid w:val="00F25052"/>
    <w:rsid w:val="00F322DA"/>
    <w:rsid w:val="00F32A37"/>
    <w:rsid w:val="00F460D5"/>
    <w:rsid w:val="00F56431"/>
    <w:rsid w:val="00F56832"/>
    <w:rsid w:val="00F571AF"/>
    <w:rsid w:val="00F61A1F"/>
    <w:rsid w:val="00F62204"/>
    <w:rsid w:val="00F640C7"/>
    <w:rsid w:val="00F72683"/>
    <w:rsid w:val="00F9147A"/>
    <w:rsid w:val="00FA29CF"/>
    <w:rsid w:val="00FB0F43"/>
    <w:rsid w:val="00FB2DD6"/>
    <w:rsid w:val="00FC5621"/>
    <w:rsid w:val="00FD13E6"/>
    <w:rsid w:val="00FD5527"/>
    <w:rsid w:val="00FF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49"/>
    <o:shapelayout v:ext="edit">
      <o:idmap v:ext="edit" data="1"/>
    </o:shapelayout>
  </w:shapeDefaults>
  <w:decimalSymbol w:val="."/>
  <w:listSeparator w:val=","/>
  <w14:docId w14:val="6DBA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C5C"/>
    <w:rPr>
      <w:color w:val="000000"/>
      <w:sz w:val="24"/>
      <w:szCs w:val="24"/>
    </w:rPr>
  </w:style>
  <w:style w:type="paragraph" w:styleId="Heading1">
    <w:name w:val="heading 1"/>
    <w:aliases w:val="Part Title"/>
    <w:basedOn w:val="Normal"/>
    <w:next w:val="Heading4"/>
    <w:qFormat/>
    <w:rsid w:val="00741C5C"/>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741C5C"/>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741C5C"/>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741C5C"/>
    <w:pPr>
      <w:spacing w:after="240"/>
      <w:outlineLvl w:val="3"/>
    </w:pPr>
    <w:rPr>
      <w:rFonts w:ascii="Arial" w:hAnsi="Arial" w:cs="Arial"/>
      <w:b/>
      <w:sz w:val="32"/>
      <w:szCs w:val="20"/>
    </w:rPr>
  </w:style>
  <w:style w:type="paragraph" w:styleId="Heading5">
    <w:name w:val="heading 5"/>
    <w:aliases w:val="Block Label"/>
    <w:basedOn w:val="Normal"/>
    <w:qFormat/>
    <w:rsid w:val="00741C5C"/>
    <w:pPr>
      <w:outlineLvl w:val="4"/>
    </w:pPr>
    <w:rPr>
      <w:b/>
      <w:sz w:val="22"/>
      <w:szCs w:val="20"/>
    </w:rPr>
  </w:style>
  <w:style w:type="paragraph" w:styleId="Heading6">
    <w:name w:val="heading 6"/>
    <w:aliases w:val="Sub Label"/>
    <w:basedOn w:val="Heading5"/>
    <w:next w:val="BlockText"/>
    <w:qFormat/>
    <w:rsid w:val="00741C5C"/>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1C5C"/>
    <w:pPr>
      <w:tabs>
        <w:tab w:val="center" w:pos="4680"/>
        <w:tab w:val="right" w:pos="9360"/>
      </w:tabs>
    </w:pPr>
    <w:rPr>
      <w:color w:val="auto"/>
      <w:lang w:val="x-none" w:eastAsia="x-non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741C5C"/>
    <w:pPr>
      <w:pBdr>
        <w:top w:val="single" w:sz="6" w:space="1" w:color="000000"/>
        <w:between w:val="single" w:sz="6" w:space="1" w:color="auto"/>
      </w:pBdr>
      <w:spacing w:before="240"/>
      <w:ind w:left="1720"/>
    </w:pPr>
    <w:rPr>
      <w:szCs w:val="20"/>
    </w:rPr>
  </w:style>
  <w:style w:type="paragraph" w:styleId="BlockText">
    <w:name w:val="Block Text"/>
    <w:basedOn w:val="Normal"/>
    <w:rsid w:val="00741C5C"/>
  </w:style>
  <w:style w:type="paragraph" w:customStyle="1" w:styleId="BulletText1">
    <w:name w:val="Bullet Text 1"/>
    <w:basedOn w:val="Normal"/>
    <w:rsid w:val="00741C5C"/>
    <w:pPr>
      <w:numPr>
        <w:numId w:val="1"/>
      </w:numPr>
    </w:pPr>
    <w:rPr>
      <w:szCs w:val="20"/>
    </w:rPr>
  </w:style>
  <w:style w:type="paragraph" w:customStyle="1" w:styleId="BulletText2">
    <w:name w:val="Bullet Text 2"/>
    <w:basedOn w:val="Normal"/>
    <w:rsid w:val="00741C5C"/>
    <w:pPr>
      <w:numPr>
        <w:numId w:val="2"/>
      </w:numPr>
    </w:pPr>
    <w:rPr>
      <w:szCs w:val="20"/>
    </w:rPr>
  </w:style>
  <w:style w:type="paragraph" w:customStyle="1" w:styleId="ContinuedOnNextPa">
    <w:name w:val="Continued On Next Pa"/>
    <w:basedOn w:val="Normal"/>
    <w:next w:val="Normal"/>
    <w:rsid w:val="00741C5C"/>
    <w:pPr>
      <w:pBdr>
        <w:top w:val="single" w:sz="6" w:space="1" w:color="000000"/>
        <w:between w:val="single" w:sz="6" w:space="1" w:color="auto"/>
      </w:pBdr>
      <w:spacing w:before="240"/>
      <w:ind w:left="1720"/>
      <w:jc w:val="right"/>
    </w:pPr>
    <w:rPr>
      <w:i/>
      <w:sz w:val="20"/>
      <w:szCs w:val="20"/>
    </w:rPr>
  </w:style>
  <w:style w:type="paragraph" w:customStyle="1" w:styleId="ContinuedTableLabe">
    <w:name w:val="Continued Table Labe"/>
    <w:basedOn w:val="Normal"/>
    <w:next w:val="Normal"/>
    <w:rsid w:val="00741C5C"/>
    <w:pPr>
      <w:spacing w:after="240"/>
    </w:pPr>
    <w:rPr>
      <w:b/>
      <w:sz w:val="22"/>
      <w:szCs w:val="20"/>
    </w:rPr>
  </w:style>
  <w:style w:type="paragraph" w:customStyle="1" w:styleId="MapTitleContinued">
    <w:name w:val="Map Title. Continued"/>
    <w:basedOn w:val="Normal"/>
    <w:next w:val="Normal"/>
    <w:rsid w:val="00741C5C"/>
    <w:pPr>
      <w:spacing w:after="240"/>
    </w:pPr>
    <w:rPr>
      <w:rFonts w:ascii="Arial" w:hAnsi="Arial" w:cs="Arial"/>
      <w:b/>
      <w:sz w:val="32"/>
      <w:szCs w:val="20"/>
    </w:rPr>
  </w:style>
  <w:style w:type="paragraph" w:customStyle="1" w:styleId="MemoLine">
    <w:name w:val="Memo Line"/>
    <w:basedOn w:val="BlockLine"/>
    <w:next w:val="Normal"/>
    <w:rsid w:val="00741C5C"/>
  </w:style>
  <w:style w:type="paragraph" w:styleId="Footer">
    <w:name w:val="footer"/>
    <w:basedOn w:val="Normal"/>
    <w:link w:val="FooterChar"/>
    <w:rsid w:val="00741C5C"/>
    <w:pPr>
      <w:tabs>
        <w:tab w:val="center" w:pos="4680"/>
        <w:tab w:val="right" w:pos="9360"/>
      </w:tabs>
    </w:pPr>
    <w:rPr>
      <w:color w:val="auto"/>
      <w:lang w:val="x-none" w:eastAsia="x-none"/>
    </w:rPr>
  </w:style>
  <w:style w:type="character" w:styleId="PageNumber">
    <w:name w:val="page number"/>
    <w:basedOn w:val="DefaultParagraphFont"/>
  </w:style>
  <w:style w:type="paragraph" w:customStyle="1" w:styleId="TableText">
    <w:name w:val="Table Text"/>
    <w:basedOn w:val="Normal"/>
    <w:rsid w:val="00741C5C"/>
    <w:rPr>
      <w:szCs w:val="20"/>
    </w:rPr>
  </w:style>
  <w:style w:type="paragraph" w:customStyle="1" w:styleId="NoteText">
    <w:name w:val="Note Text"/>
    <w:basedOn w:val="Normal"/>
    <w:rsid w:val="00741C5C"/>
    <w:rPr>
      <w:szCs w:val="20"/>
    </w:rPr>
  </w:style>
  <w:style w:type="paragraph" w:customStyle="1" w:styleId="TableHeaderText">
    <w:name w:val="Table Header Text"/>
    <w:basedOn w:val="Normal"/>
    <w:rsid w:val="00741C5C"/>
    <w:pPr>
      <w:jc w:val="center"/>
    </w:pPr>
    <w:rPr>
      <w:b/>
      <w:szCs w:val="20"/>
    </w:rPr>
  </w:style>
  <w:style w:type="paragraph" w:customStyle="1" w:styleId="EmbeddedText">
    <w:name w:val="Embedded Text"/>
    <w:basedOn w:val="Normal"/>
    <w:rsid w:val="00741C5C"/>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741C5C"/>
    <w:pPr>
      <w:ind w:left="480"/>
    </w:pPr>
  </w:style>
  <w:style w:type="paragraph" w:styleId="TOC4">
    <w:name w:val="toc 4"/>
    <w:basedOn w:val="Normal"/>
    <w:next w:val="Normal"/>
    <w:autoRedefine/>
    <w:uiPriority w:val="39"/>
    <w:rsid w:val="00741C5C"/>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rsid w:val="00741C5C"/>
    <w:pPr>
      <w:spacing w:after="240"/>
    </w:pPr>
    <w:rPr>
      <w:b/>
      <w:sz w:val="22"/>
      <w:szCs w:val="20"/>
    </w:rPr>
  </w:style>
  <w:style w:type="character" w:customStyle="1" w:styleId="Jump">
    <w:name w:val="Jump"/>
    <w:rPr>
      <w:color w:val="FF0000"/>
    </w:rPr>
  </w:style>
  <w:style w:type="paragraph" w:customStyle="1" w:styleId="PublicationTitle">
    <w:name w:val="Publication Title"/>
    <w:basedOn w:val="Normal"/>
    <w:next w:val="Heading4"/>
    <w:rsid w:val="00741C5C"/>
    <w:pPr>
      <w:spacing w:after="240"/>
      <w:jc w:val="center"/>
    </w:pPr>
    <w:rPr>
      <w:rFonts w:ascii="Arial" w:hAnsi="Arial" w:cs="Arial"/>
      <w:b/>
      <w:sz w:val="32"/>
      <w:szCs w:val="20"/>
    </w:rPr>
  </w:style>
  <w:style w:type="paragraph" w:customStyle="1" w:styleId="TOCTitle">
    <w:name w:val="TOC Title"/>
    <w:basedOn w:val="Normal"/>
    <w:rsid w:val="00741C5C"/>
    <w:pPr>
      <w:widowControl w:val="0"/>
    </w:pPr>
    <w:rPr>
      <w:rFonts w:ascii="Arial" w:hAnsi="Arial" w:cs="Arial"/>
      <w:b/>
      <w:sz w:val="32"/>
      <w:szCs w:val="20"/>
    </w:rPr>
  </w:style>
  <w:style w:type="paragraph" w:customStyle="1" w:styleId="TOCItem">
    <w:name w:val="TOCItem"/>
    <w:basedOn w:val="Normal"/>
    <w:rsid w:val="00741C5C"/>
    <w:pPr>
      <w:tabs>
        <w:tab w:val="left" w:leader="dot" w:pos="7061"/>
        <w:tab w:val="right" w:pos="7524"/>
      </w:tabs>
      <w:spacing w:before="60" w:after="60"/>
      <w:ind w:right="465"/>
    </w:pPr>
    <w:rPr>
      <w:szCs w:val="20"/>
    </w:rPr>
  </w:style>
  <w:style w:type="paragraph" w:customStyle="1" w:styleId="TOCStem">
    <w:name w:val="TOCStem"/>
    <w:basedOn w:val="Normal"/>
    <w:rsid w:val="00741C5C"/>
    <w:rPr>
      <w:szCs w:val="20"/>
    </w:rPr>
  </w:style>
  <w:style w:type="character" w:styleId="Hyperlink">
    <w:name w:val="Hyperlink"/>
    <w:uiPriority w:val="99"/>
    <w:rsid w:val="00741C5C"/>
    <w:rPr>
      <w:color w:val="0000FF"/>
      <w:u w:val="single"/>
    </w:rPr>
  </w:style>
  <w:style w:type="character" w:styleId="FollowedHyperlink">
    <w:name w:val="FollowedHyperlink"/>
    <w:rsid w:val="00741C5C"/>
    <w:rPr>
      <w:color w:val="800080"/>
      <w:u w:val="single"/>
    </w:rPr>
  </w:style>
  <w:style w:type="character" w:styleId="CommentReference">
    <w:name w:val="annotation reference"/>
    <w:uiPriority w:val="99"/>
    <w:semiHidden/>
    <w:rsid w:val="00AC29BF"/>
    <w:rPr>
      <w:sz w:val="16"/>
      <w:szCs w:val="16"/>
    </w:rPr>
  </w:style>
  <w:style w:type="paragraph" w:styleId="CommentText">
    <w:name w:val="annotation text"/>
    <w:basedOn w:val="Normal"/>
    <w:link w:val="CommentTextChar"/>
    <w:uiPriority w:val="99"/>
    <w:semiHidden/>
    <w:rsid w:val="00AC29BF"/>
    <w:rPr>
      <w:sz w:val="20"/>
    </w:rPr>
  </w:style>
  <w:style w:type="paragraph" w:styleId="CommentSubject">
    <w:name w:val="annotation subject"/>
    <w:basedOn w:val="CommentText"/>
    <w:next w:val="CommentText"/>
    <w:semiHidden/>
    <w:rsid w:val="00AC29BF"/>
    <w:rPr>
      <w:b/>
      <w:bCs/>
    </w:rPr>
  </w:style>
  <w:style w:type="paragraph" w:styleId="BalloonText">
    <w:name w:val="Balloon Text"/>
    <w:basedOn w:val="Normal"/>
    <w:semiHidden/>
    <w:rsid w:val="00741C5C"/>
    <w:rPr>
      <w:rFonts w:ascii="Tahoma" w:hAnsi="Tahoma" w:cs="Tahoma"/>
      <w:sz w:val="16"/>
      <w:szCs w:val="16"/>
    </w:rPr>
  </w:style>
  <w:style w:type="paragraph" w:customStyle="1" w:styleId="BulletText3">
    <w:name w:val="Bullet Text 3"/>
    <w:basedOn w:val="Normal"/>
    <w:rsid w:val="00741C5C"/>
    <w:pPr>
      <w:numPr>
        <w:numId w:val="3"/>
      </w:numPr>
      <w:tabs>
        <w:tab w:val="clear" w:pos="173"/>
      </w:tabs>
      <w:ind w:left="533" w:hanging="173"/>
    </w:pPr>
    <w:rPr>
      <w:szCs w:val="20"/>
    </w:rPr>
  </w:style>
  <w:style w:type="character" w:styleId="HTMLAcronym">
    <w:name w:val="HTML Acronym"/>
    <w:basedOn w:val="DefaultParagraphFont"/>
    <w:rsid w:val="00741C5C"/>
  </w:style>
  <w:style w:type="paragraph" w:customStyle="1" w:styleId="IMTOC">
    <w:name w:val="IMTOC"/>
    <w:rsid w:val="00741C5C"/>
    <w:rPr>
      <w:sz w:val="24"/>
    </w:rPr>
  </w:style>
  <w:style w:type="table" w:styleId="TableGrid">
    <w:name w:val="Table Grid"/>
    <w:basedOn w:val="TableNormal"/>
    <w:rsid w:val="00741C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741C5C"/>
    <w:rPr>
      <w:sz w:val="24"/>
      <w:szCs w:val="24"/>
      <w:lang w:val="x-none" w:eastAsia="x-none"/>
    </w:rPr>
  </w:style>
  <w:style w:type="character" w:customStyle="1" w:styleId="FooterChar">
    <w:name w:val="Footer Char"/>
    <w:link w:val="Footer"/>
    <w:rsid w:val="00741C5C"/>
    <w:rPr>
      <w:sz w:val="24"/>
      <w:szCs w:val="24"/>
      <w:lang w:val="x-none" w:eastAsia="x-none"/>
    </w:rPr>
  </w:style>
  <w:style w:type="paragraph" w:styleId="Revision">
    <w:name w:val="Revision"/>
    <w:hidden/>
    <w:uiPriority w:val="99"/>
    <w:semiHidden/>
    <w:rsid w:val="004F51B4"/>
    <w:rPr>
      <w:color w:val="000000"/>
      <w:sz w:val="24"/>
      <w:szCs w:val="24"/>
    </w:rPr>
  </w:style>
  <w:style w:type="paragraph" w:styleId="ListParagraph">
    <w:name w:val="List Paragraph"/>
    <w:basedOn w:val="Normal"/>
    <w:uiPriority w:val="34"/>
    <w:qFormat/>
    <w:rsid w:val="000968DD"/>
    <w:pPr>
      <w:ind w:left="720"/>
      <w:contextualSpacing/>
    </w:pPr>
  </w:style>
  <w:style w:type="character" w:customStyle="1" w:styleId="CommentTextChar">
    <w:name w:val="Comment Text Char"/>
    <w:link w:val="CommentText"/>
    <w:uiPriority w:val="99"/>
    <w:semiHidden/>
    <w:rsid w:val="00262AB8"/>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1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vbaw.vba.va.gov/bl/21/Advisory/CAVCDAD.htm" TargetMode="External"/><Relationship Id="rId26" Type="http://schemas.openxmlformats.org/officeDocument/2006/relationships/hyperlink" Target="https://www.law.cornell.edu/uscode/text/38/5110" TargetMode="External"/><Relationship Id="rId39" Type="http://schemas.openxmlformats.org/officeDocument/2006/relationships/hyperlink" Target="https://www.law.cornell.edu/uscode/text/38/1153" TargetMode="External"/><Relationship Id="rId21" Type="http://schemas.openxmlformats.org/officeDocument/2006/relationships/hyperlink" Target="http://vbaw.vba.va.gov/VetsNet/Claims_Docs/webhelp/Claim_Development1.htm" TargetMode="External"/><Relationship Id="rId34" Type="http://schemas.openxmlformats.org/officeDocument/2006/relationships/hyperlink" Target="http://www.ecfr.gov/cgi-bin/text-idx?SID=ea513727c052ceaff09990d59f484fe1&amp;mc=true&amp;node=se38.1.4_17&amp;rgn=div8" TargetMode="External"/><Relationship Id="rId42" Type="http://schemas.openxmlformats.org/officeDocument/2006/relationships/hyperlink" Target="http://www.ecfr.gov/cgi-bin/text-idx?SID=a546aa9f7d689727ad9552d053231594&amp;mc=true&amp;node=se38.1.3_1159&amp;rgn=div8" TargetMode="External"/><Relationship Id="rId47" Type="http://schemas.openxmlformats.org/officeDocument/2006/relationships/hyperlink" Target="http://vbaw.vba.va.gov/bl/21/advisory/CAVCDAD.htm" TargetMode="External"/><Relationship Id="rId50" Type="http://schemas.openxmlformats.org/officeDocument/2006/relationships/hyperlink" Target="http://cafc.uscourts.gov/images/stories/opinions-orders/05-7174.pdf" TargetMode="External"/><Relationship Id="rId55" Type="http://schemas.openxmlformats.org/officeDocument/2006/relationships/hyperlink" Target="http://vbaw.vba.va.gov/bl/21/Advisory/CAVCDAD.htm" TargetMode="External"/><Relationship Id="rId63" Type="http://schemas.openxmlformats.org/officeDocument/2006/relationships/hyperlink" Target="http://vbaw.vba.va.gov/bl/21/advisory/CAVCDAD.htm" TargetMode="External"/><Relationship Id="rId68" Type="http://schemas.openxmlformats.org/officeDocument/2006/relationships/hyperlink" Target="http://vbaw.vba.va.gov/bl/21/advisory/CAVCDAD.htm" TargetMode="External"/><Relationship Id="rId76" Type="http://schemas.openxmlformats.org/officeDocument/2006/relationships/hyperlink" Target="http://vbaw.vba.va.gov/bl/21/advisory/CAVCDAD.htm" TargetMode="External"/><Relationship Id="rId84" Type="http://schemas.openxmlformats.org/officeDocument/2006/relationships/fontTable" Target="fontTable.xml"/><Relationship Id="rId7" Type="http://schemas.openxmlformats.org/officeDocument/2006/relationships/numbering" Target="numbering.xml"/><Relationship Id="rId71" Type="http://schemas.openxmlformats.org/officeDocument/2006/relationships/hyperlink" Target="http://vbaw.vba.va.gov/bl/21/advisory/CAVCDAD.htm" TargetMode="External"/><Relationship Id="rId2" Type="http://schemas.openxmlformats.org/officeDocument/2006/relationships/customXml" Target="../customXml/item1.xml"/><Relationship Id="rId16" Type="http://schemas.openxmlformats.org/officeDocument/2006/relationships/hyperlink" Target="http://www.ecfr.gov/cgi-bin/text-idx?SID=704391bf8839203461c283a9314ad491&amp;mc=true&amp;node=se38.1.3_1114&amp;rgn=div8" TargetMode="External"/><Relationship Id="rId29" Type="http://schemas.openxmlformats.org/officeDocument/2006/relationships/hyperlink" Target="http://vbaw.vba.va.gov/bl/21/Advisory/CAVCDAD.htm" TargetMode="External"/><Relationship Id="rId11" Type="http://schemas.openxmlformats.org/officeDocument/2006/relationships/webSettings" Target="webSettings.xml"/><Relationship Id="rId24" Type="http://schemas.openxmlformats.org/officeDocument/2006/relationships/hyperlink" Target="https://www.law.cornell.edu/uscode/text/38/1155" TargetMode="External"/><Relationship Id="rId32" Type="http://schemas.openxmlformats.org/officeDocument/2006/relationships/hyperlink" Target="http://www.ecfr.gov/cgi-bin/text-idx?SID=451dcd74588d4aa8acd200cd3853dd5c&amp;mc=true&amp;node=se38.1.3_1102&amp;rgn=div8" TargetMode="External"/><Relationship Id="rId37" Type="http://schemas.openxmlformats.org/officeDocument/2006/relationships/hyperlink" Target="http://vbaw.vba.va.gov/bl/21/advisory/CAVCDAD.htm" TargetMode="External"/><Relationship Id="rId40" Type="http://schemas.openxmlformats.org/officeDocument/2006/relationships/hyperlink" Target="https://www.law.cornell.edu/uscode/text/38/1112" TargetMode="External"/><Relationship Id="rId45" Type="http://schemas.openxmlformats.org/officeDocument/2006/relationships/hyperlink" Target="https://www.law.cornell.edu/uscode/text/38/105" TargetMode="External"/><Relationship Id="rId53" Type="http://schemas.openxmlformats.org/officeDocument/2006/relationships/hyperlink" Target="http://vbaw.vba.va.gov/bl/21/advisory/CAVCDAD.htm" TargetMode="External"/><Relationship Id="rId58" Type="http://schemas.openxmlformats.org/officeDocument/2006/relationships/hyperlink" Target="http://vbaw.vba.va.gov/bl/21/Advisory/CAVCDAD.htm" TargetMode="External"/><Relationship Id="rId66" Type="http://schemas.openxmlformats.org/officeDocument/2006/relationships/hyperlink" Target="http://vbaw.vba.va.gov/bl/21/advisory/CAVCDAD.htm" TargetMode="External"/><Relationship Id="rId74" Type="http://schemas.openxmlformats.org/officeDocument/2006/relationships/hyperlink" Target="http://vbaw.vba.va.gov/bl/21/Advisory/CAVCDAD.htm" TargetMode="External"/><Relationship Id="rId79" Type="http://schemas.openxmlformats.org/officeDocument/2006/relationships/hyperlink" Target="http://vbaw.vba.va.gov/bl/21/advisory/CAVCDAD.htm" TargetMode="External"/><Relationship Id="rId5" Type="http://schemas.openxmlformats.org/officeDocument/2006/relationships/customXml" Target="../customXml/item4.xml"/><Relationship Id="rId61" Type="http://schemas.openxmlformats.org/officeDocument/2006/relationships/hyperlink" Target="http://vbaw.vba.va.gov/bl/21/Advisory/CAVCDAD.htm" TargetMode="External"/><Relationship Id="rId82" Type="http://schemas.openxmlformats.org/officeDocument/2006/relationships/header" Target="header2.xml"/><Relationship Id="rId19" Type="http://schemas.openxmlformats.org/officeDocument/2006/relationships/hyperlink" Target="http://vbaw.vba.va.gov/bl/21/advisory/CAVCDAD.htm" TargetMode="Externa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yperlink" Target="http://www.va.gov/ogc/opinions/1990precedentopinions.asp" TargetMode="External"/><Relationship Id="rId22" Type="http://schemas.openxmlformats.org/officeDocument/2006/relationships/hyperlink" Target="http://www.ecfr.gov/cgi-bin/text-idx?SID=530e43d362df4d6c8747bcfa585b14f1&amp;mc=true&amp;node=se38.1.4_123&amp;rgn=div8" TargetMode="External"/><Relationship Id="rId27" Type="http://schemas.openxmlformats.org/officeDocument/2006/relationships/hyperlink" Target="http://www.ecfr.gov/cgi-bin/text-idx?SID=146f7c1f9831a1627289cc33bb649ebe&amp;mc=true&amp;node=se38.1.3_1114&amp;rgn=div8" TargetMode="External"/><Relationship Id="rId30" Type="http://schemas.openxmlformats.org/officeDocument/2006/relationships/hyperlink" Target="http://www.ecfr.gov/cgi-bin/text-idx?SID=ea513727c052ceaff09990d59f484fe1&amp;mc=true&amp;node=se38.1.3_1102&amp;rgn=div8" TargetMode="External"/><Relationship Id="rId35" Type="http://schemas.openxmlformats.org/officeDocument/2006/relationships/hyperlink" Target="http://www.ecfr.gov/cgi-bin/text-idx?SID=ea513727c052ceaff09990d59f484fe1&amp;mc=true&amp;node=se38.1.4_17&amp;rgn=div8" TargetMode="External"/><Relationship Id="rId43" Type="http://schemas.openxmlformats.org/officeDocument/2006/relationships/hyperlink" Target="http://www.ecfr.gov/cgi-bin/text-idx?SID=a546aa9f7d689727ad9552d053231594&amp;mc=true&amp;node=se38.1.3_1159&amp;rgn=div8" TargetMode="External"/><Relationship Id="rId48" Type="http://schemas.openxmlformats.org/officeDocument/2006/relationships/hyperlink" Target="http://vbaw.vba.va.gov/bl/21/advisory/CAVCDAD.htm" TargetMode="External"/><Relationship Id="rId56" Type="http://schemas.openxmlformats.org/officeDocument/2006/relationships/hyperlink" Target="http://vbaw.vba.va.gov/bl/21/advisory/CAVCDAD.htm" TargetMode="External"/><Relationship Id="rId64" Type="http://schemas.openxmlformats.org/officeDocument/2006/relationships/hyperlink" Target="http://vbaw.vba.va.gov/bl/21/advisory/CAVCDAD.htm" TargetMode="External"/><Relationship Id="rId69" Type="http://schemas.openxmlformats.org/officeDocument/2006/relationships/hyperlink" Target="http://vbaw.vba.va.gov/bl/21/Advisory/CAVCDAD.htm" TargetMode="External"/><Relationship Id="rId77" Type="http://schemas.openxmlformats.org/officeDocument/2006/relationships/hyperlink" Target="http://vbaw.vba.va.gov/bl/21/advisory/CAVCDAD.htm" TargetMode="External"/><Relationship Id="rId8" Type="http://schemas.openxmlformats.org/officeDocument/2006/relationships/styles" Target="styles.xml"/><Relationship Id="rId51" Type="http://schemas.openxmlformats.org/officeDocument/2006/relationships/hyperlink" Target="http://www.uscourts.cavc.gov/documents/McLendon_04-0185.pdf" TargetMode="External"/><Relationship Id="rId72" Type="http://schemas.openxmlformats.org/officeDocument/2006/relationships/hyperlink" Target="http://vbaw.vba.va.gov/bl/21/advisory/CAVCDAD.htm" TargetMode="External"/><Relationship Id="rId80" Type="http://schemas.openxmlformats.org/officeDocument/2006/relationships/hyperlink" Target="http://www.ecfr.gov/cgi-bin/text-idx?SID=a08bfebd52a74aea7c0022ad43d360a2&amp;mc=true&amp;node=se38.1.3_1102&amp;rgn=div8" TargetMode="External"/><Relationship Id="rId85" Type="http://schemas.openxmlformats.org/officeDocument/2006/relationships/theme" Target="theme/theme1.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yperlink" Target="http://www.va.gov/ogc/opinions/2003precedentopinions.asp" TargetMode="External"/><Relationship Id="rId25" Type="http://schemas.openxmlformats.org/officeDocument/2006/relationships/hyperlink" Target="http://vbaw.vba.va.gov/bl/21/advisory/CAVCDAD.htm" TargetMode="External"/><Relationship Id="rId33" Type="http://schemas.openxmlformats.org/officeDocument/2006/relationships/hyperlink" Target="http://www.ecfr.gov/cgi-bin/text-idx?SID=ea513727c052ceaff09990d59f484fe1&amp;mc=true&amp;node=se38.1.4_121&amp;rgn=div8" TargetMode="External"/><Relationship Id="rId38" Type="http://schemas.openxmlformats.org/officeDocument/2006/relationships/hyperlink" Target="https://www.law.cornell.edu/uscode/text/38/1111" TargetMode="External"/><Relationship Id="rId46" Type="http://schemas.openxmlformats.org/officeDocument/2006/relationships/hyperlink" Target="http://cafc.uscourts.gov/images/stories/opinions-orders/12-7046.Opinion.9-26-2013.1.PDF" TargetMode="External"/><Relationship Id="rId59" Type="http://schemas.openxmlformats.org/officeDocument/2006/relationships/hyperlink" Target="https://www.law.cornell.edu/uscode/text/38/5103A" TargetMode="External"/><Relationship Id="rId67" Type="http://schemas.openxmlformats.org/officeDocument/2006/relationships/hyperlink" Target="http://vbaw.vba.va.gov/bl/21/advisory/CAVCDAD.htm" TargetMode="External"/><Relationship Id="rId20" Type="http://schemas.openxmlformats.org/officeDocument/2006/relationships/hyperlink" Target="http://vbaw.vba.va.gov/VBMS/Resources_Technical_Information.asp" TargetMode="External"/><Relationship Id="rId41" Type="http://schemas.openxmlformats.org/officeDocument/2006/relationships/hyperlink" Target="http://vbaw.vba.va.gov/bl/21/advisory/CAVCDAD.htm" TargetMode="External"/><Relationship Id="rId54" Type="http://schemas.openxmlformats.org/officeDocument/2006/relationships/hyperlink" Target="http://vbaw.vba.va.gov/bl/21/Advisory/CAVCDAD.htm" TargetMode="External"/><Relationship Id="rId62" Type="http://schemas.openxmlformats.org/officeDocument/2006/relationships/hyperlink" Target="https://www.law.cornell.edu/uscode/text/38/1154" TargetMode="External"/><Relationship Id="rId70" Type="http://schemas.openxmlformats.org/officeDocument/2006/relationships/hyperlink" Target="http://vbaw.vba.va.gov/bl/21/Advisory/CAVCDAD.htm" TargetMode="External"/><Relationship Id="rId75" Type="http://schemas.openxmlformats.org/officeDocument/2006/relationships/hyperlink" Target="http://vbaw.vba.va.gov/bl/21/Advisory/CAVCDAD.htm" TargetMode="External"/><Relationship Id="rId83"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s://www.law.cornell.edu/uscode/text/38/5110" TargetMode="External"/><Relationship Id="rId23" Type="http://schemas.openxmlformats.org/officeDocument/2006/relationships/hyperlink" Target="http://www.va.gov/ogc/opinions/1992precedentopinions.asp" TargetMode="External"/><Relationship Id="rId28" Type="http://schemas.openxmlformats.org/officeDocument/2006/relationships/hyperlink" Target="http://www.va.gov/ogc/opinions/1992precedentopinions.asp" TargetMode="External"/><Relationship Id="rId36" Type="http://schemas.openxmlformats.org/officeDocument/2006/relationships/hyperlink" Target="http://www.ecfr.gov/cgi-bin/text-idx?SID=ea513727c052ceaff09990d59f484fe1&amp;mc=true&amp;node=se38.1.4_17&amp;rgn=div8" TargetMode="External"/><Relationship Id="rId49" Type="http://schemas.openxmlformats.org/officeDocument/2006/relationships/hyperlink" Target="https://www.law.cornell.edu/uscode/text/38/1154" TargetMode="External"/><Relationship Id="rId57" Type="http://schemas.openxmlformats.org/officeDocument/2006/relationships/hyperlink" Target="http://vbaw.vba.va.gov/bl/21/Advisory/CAVCDAD.htm" TargetMode="External"/><Relationship Id="rId10" Type="http://schemas.openxmlformats.org/officeDocument/2006/relationships/settings" Target="settings.xml"/><Relationship Id="rId31" Type="http://schemas.openxmlformats.org/officeDocument/2006/relationships/hyperlink" Target="http://www.ecfr.gov/cgi-bin/text-idx?SID=ea513727c052ceaff09990d59f484fe1&amp;mc=true&amp;node=se38.1.4_13&amp;rgn=div8" TargetMode="External"/><Relationship Id="rId44" Type="http://schemas.openxmlformats.org/officeDocument/2006/relationships/hyperlink" Target="http://vbaw.vba.va.gov/bl/21/Advisory/CAVCDAD.htm" TargetMode="External"/><Relationship Id="rId52" Type="http://schemas.openxmlformats.org/officeDocument/2006/relationships/hyperlink" Target="https://www.law.cornell.edu/uscode/text/38/5103A" TargetMode="External"/><Relationship Id="rId60" Type="http://schemas.openxmlformats.org/officeDocument/2006/relationships/hyperlink" Target="http://www.ecfr.gov/cgi-bin/text-idx?SID=c0d5f5b8803a8ae8de09949fa6c869e5&amp;mc=true&amp;node=se38.1.4_12&amp;rgn=div8" TargetMode="External"/><Relationship Id="rId65" Type="http://schemas.openxmlformats.org/officeDocument/2006/relationships/hyperlink" Target="http://www.ecfr.gov/cgi-bin/text-idx?SID=e05a20cdd9805601c9123df74a4fa27d&amp;mc=true&amp;node=se38.1.3_1159&amp;rgn=div8" TargetMode="External"/><Relationship Id="rId73" Type="http://schemas.openxmlformats.org/officeDocument/2006/relationships/hyperlink" Target="http://www.ecfr.gov/cgi-bin/text-idx?SID=a08bfebd52a74aea7c0022ad43d360a2&amp;mc=true&amp;node=se38.1.3_1102&amp;rgn=div8" TargetMode="External"/><Relationship Id="rId78" Type="http://schemas.openxmlformats.org/officeDocument/2006/relationships/hyperlink" Target="http://vbaw.vba.va.gov/bl/21/Advisory/CAVCDAD.htm" TargetMode="External"/><Relationship Id="rId81"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4.1\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2F08E-E78B-43D5-8AD0-F0D385C5E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158BC5-94ED-48FD-A2FC-00F7F1FE9B3C}">
  <ds:schemaRefs>
    <ds:schemaRef ds:uri="http://schemas.microsoft.com/sharepoint/v3/contenttype/forms"/>
  </ds:schemaRefs>
</ds:datastoreItem>
</file>

<file path=customXml/itemProps3.xml><?xml version="1.0" encoding="utf-8"?>
<ds:datastoreItem xmlns:ds="http://schemas.openxmlformats.org/officeDocument/2006/customXml" ds:itemID="{4B50B4C6-F915-4070-8D9D-E4A380721BF0}">
  <ds:schemaRefs>
    <ds:schemaRef ds:uri="http://schemas.microsoft.com/office/2006/metadata/longProperties"/>
  </ds:schemaRefs>
</ds:datastoreItem>
</file>

<file path=customXml/itemProps4.xml><?xml version="1.0" encoding="utf-8"?>
<ds:datastoreItem xmlns:ds="http://schemas.openxmlformats.org/officeDocument/2006/customXml" ds:itemID="{8E3F362F-06E4-40BA-9A1E-F84B2ACA739A}">
  <ds:schemaRefs>
    <ds:schemaRef ds:uri="http://schemas.openxmlformats.org/package/2006/metadata/core-properties"/>
    <ds:schemaRef ds:uri="http://purl.org/dc/dcmitype/"/>
    <ds:schemaRef ds:uri="http://www.w3.org/XML/1998/namespace"/>
    <ds:schemaRef ds:uri="http://schemas.microsoft.com/office/infopath/2007/PartnerControls"/>
    <ds:schemaRef ds:uri="http://purl.org/dc/elements/1.1/"/>
    <ds:schemaRef ds:uri="http://schemas.microsoft.com/office/2006/documentManagement/types"/>
    <ds:schemaRef ds:uri="b438dcf7-3998-4283-b7fc-0ec6fa8e430f"/>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C14E89D3-1513-4F6D-BDC7-CE254EFF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168</TotalTime>
  <Pages>29</Pages>
  <Words>7966</Words>
  <Characters>45408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Chapter 5. Evaluating Evidence and Making a Decision (U.S. Department of Veterans Affairs)</vt:lpstr>
    </vt:vector>
  </TitlesOfParts>
  <Company>Dept. of Veterans Affairs</Company>
  <LinksUpToDate>false</LinksUpToDate>
  <CharactersWithSpaces>53268</CharactersWithSpaces>
  <SharedDoc>false</SharedDoc>
  <HLinks>
    <vt:vector size="438" baseType="variant">
      <vt:variant>
        <vt:i4>2883602</vt:i4>
      </vt:variant>
      <vt:variant>
        <vt:i4>216</vt:i4>
      </vt:variant>
      <vt:variant>
        <vt:i4>0</vt:i4>
      </vt:variant>
      <vt:variant>
        <vt:i4>5</vt:i4>
      </vt:variant>
      <vt:variant>
        <vt:lpwstr>http://www.ecfr.gov/cgi-bin/text-idx?SID=a08bfebd52a74aea7c0022ad43d360a2&amp;mc=true&amp;node=se38.1.3_1102&amp;rgn=div8</vt:lpwstr>
      </vt:variant>
      <vt:variant>
        <vt:lpwstr/>
      </vt:variant>
      <vt:variant>
        <vt:i4>1703974</vt:i4>
      </vt:variant>
      <vt:variant>
        <vt:i4>213</vt:i4>
      </vt:variant>
      <vt:variant>
        <vt:i4>0</vt:i4>
      </vt:variant>
      <vt:variant>
        <vt:i4>5</vt:i4>
      </vt:variant>
      <vt:variant>
        <vt:lpwstr>http://vbaw.vba.va.gov/bl/21/M21-1MR/pt03/sp04/ch05/pt03_sp04_ch06_secB.xml</vt:lpwstr>
      </vt:variant>
      <vt:variant>
        <vt:lpwstr>III.iv.6.B.3</vt:lpwstr>
      </vt:variant>
      <vt:variant>
        <vt:i4>4128870</vt:i4>
      </vt:variant>
      <vt:variant>
        <vt:i4>210</vt:i4>
      </vt:variant>
      <vt:variant>
        <vt:i4>0</vt:i4>
      </vt:variant>
      <vt:variant>
        <vt:i4>5</vt:i4>
      </vt:variant>
      <vt:variant>
        <vt:lpwstr>http://vbaw.vba.va.gov/bl/21/advisory/CAVCDAD.htm</vt:lpwstr>
      </vt:variant>
      <vt:variant>
        <vt:lpwstr>bmm</vt:lpwstr>
      </vt:variant>
      <vt:variant>
        <vt:i4>4128870</vt:i4>
      </vt:variant>
      <vt:variant>
        <vt:i4>207</vt:i4>
      </vt:variant>
      <vt:variant>
        <vt:i4>0</vt:i4>
      </vt:variant>
      <vt:variant>
        <vt:i4>5</vt:i4>
      </vt:variant>
      <vt:variant>
        <vt:lpwstr>http://vbaw.vba.va.gov/bl/21/Advisory/CAVCDAD.htm</vt:lpwstr>
      </vt:variant>
      <vt:variant>
        <vt:lpwstr>bmf</vt:lpwstr>
      </vt:variant>
      <vt:variant>
        <vt:i4>4128870</vt:i4>
      </vt:variant>
      <vt:variant>
        <vt:i4>204</vt:i4>
      </vt:variant>
      <vt:variant>
        <vt:i4>0</vt:i4>
      </vt:variant>
      <vt:variant>
        <vt:i4>5</vt:i4>
      </vt:variant>
      <vt:variant>
        <vt:lpwstr>http://vbaw.vba.va.gov/bl/21/advisory/CAVCDAD.htm</vt:lpwstr>
      </vt:variant>
      <vt:variant>
        <vt:lpwstr>bmm</vt:lpwstr>
      </vt:variant>
      <vt:variant>
        <vt:i4>4128870</vt:i4>
      </vt:variant>
      <vt:variant>
        <vt:i4>201</vt:i4>
      </vt:variant>
      <vt:variant>
        <vt:i4>0</vt:i4>
      </vt:variant>
      <vt:variant>
        <vt:i4>5</vt:i4>
      </vt:variant>
      <vt:variant>
        <vt:lpwstr>http://vbaw.vba.va.gov/bl/21/advisory/CAVCDAD.htm</vt:lpwstr>
      </vt:variant>
      <vt:variant>
        <vt:lpwstr>bmm</vt:lpwstr>
      </vt:variant>
      <vt:variant>
        <vt:i4>4128870</vt:i4>
      </vt:variant>
      <vt:variant>
        <vt:i4>198</vt:i4>
      </vt:variant>
      <vt:variant>
        <vt:i4>0</vt:i4>
      </vt:variant>
      <vt:variant>
        <vt:i4>5</vt:i4>
      </vt:variant>
      <vt:variant>
        <vt:lpwstr>http://vbaw.vba.va.gov/bl/21/Advisory/CAVCDAD.htm</vt:lpwstr>
      </vt:variant>
      <vt:variant>
        <vt:lpwstr>bmf</vt:lpwstr>
      </vt:variant>
      <vt:variant>
        <vt:i4>4128870</vt:i4>
      </vt:variant>
      <vt:variant>
        <vt:i4>195</vt:i4>
      </vt:variant>
      <vt:variant>
        <vt:i4>0</vt:i4>
      </vt:variant>
      <vt:variant>
        <vt:i4>5</vt:i4>
      </vt:variant>
      <vt:variant>
        <vt:lpwstr>http://vbaw.vba.va.gov/bl/21/Advisory/CAVCDAD.htm</vt:lpwstr>
      </vt:variant>
      <vt:variant>
        <vt:lpwstr>bma</vt:lpwstr>
      </vt:variant>
      <vt:variant>
        <vt:i4>2883602</vt:i4>
      </vt:variant>
      <vt:variant>
        <vt:i4>192</vt:i4>
      </vt:variant>
      <vt:variant>
        <vt:i4>0</vt:i4>
      </vt:variant>
      <vt:variant>
        <vt:i4>5</vt:i4>
      </vt:variant>
      <vt:variant>
        <vt:lpwstr>http://www.ecfr.gov/cgi-bin/text-idx?SID=a08bfebd52a74aea7c0022ad43d360a2&amp;mc=true&amp;node=se38.1.3_1102&amp;rgn=div8</vt:lpwstr>
      </vt:variant>
      <vt:variant>
        <vt:lpwstr/>
      </vt:variant>
      <vt:variant>
        <vt:i4>4128870</vt:i4>
      </vt:variant>
      <vt:variant>
        <vt:i4>189</vt:i4>
      </vt:variant>
      <vt:variant>
        <vt:i4>0</vt:i4>
      </vt:variant>
      <vt:variant>
        <vt:i4>5</vt:i4>
      </vt:variant>
      <vt:variant>
        <vt:lpwstr>http://vbaw.vba.va.gov/bl/21/advisory/CAVCDAD.htm</vt:lpwstr>
      </vt:variant>
      <vt:variant>
        <vt:lpwstr>bmm</vt:lpwstr>
      </vt:variant>
      <vt:variant>
        <vt:i4>4128870</vt:i4>
      </vt:variant>
      <vt:variant>
        <vt:i4>186</vt:i4>
      </vt:variant>
      <vt:variant>
        <vt:i4>0</vt:i4>
      </vt:variant>
      <vt:variant>
        <vt:i4>5</vt:i4>
      </vt:variant>
      <vt:variant>
        <vt:lpwstr>http://vbaw.vba.va.gov/bl/21/advisory/CAVCDAD.htm</vt:lpwstr>
      </vt:variant>
      <vt:variant>
        <vt:lpwstr>bmm</vt:lpwstr>
      </vt:variant>
      <vt:variant>
        <vt:i4>4128870</vt:i4>
      </vt:variant>
      <vt:variant>
        <vt:i4>183</vt:i4>
      </vt:variant>
      <vt:variant>
        <vt:i4>0</vt:i4>
      </vt:variant>
      <vt:variant>
        <vt:i4>5</vt:i4>
      </vt:variant>
      <vt:variant>
        <vt:lpwstr>http://vbaw.vba.va.gov/bl/21/Advisory/CAVCDAD.htm</vt:lpwstr>
      </vt:variant>
      <vt:variant>
        <vt:lpwstr>bmr</vt:lpwstr>
      </vt:variant>
      <vt:variant>
        <vt:i4>4128870</vt:i4>
      </vt:variant>
      <vt:variant>
        <vt:i4>180</vt:i4>
      </vt:variant>
      <vt:variant>
        <vt:i4>0</vt:i4>
      </vt:variant>
      <vt:variant>
        <vt:i4>5</vt:i4>
      </vt:variant>
      <vt:variant>
        <vt:lpwstr>http://vbaw.vba.va.gov/bl/21/Advisory/CAVCDAD.htm</vt:lpwstr>
      </vt:variant>
      <vt:variant>
        <vt:lpwstr>bmr</vt:lpwstr>
      </vt:variant>
      <vt:variant>
        <vt:i4>4128870</vt:i4>
      </vt:variant>
      <vt:variant>
        <vt:i4>177</vt:i4>
      </vt:variant>
      <vt:variant>
        <vt:i4>0</vt:i4>
      </vt:variant>
      <vt:variant>
        <vt:i4>5</vt:i4>
      </vt:variant>
      <vt:variant>
        <vt:lpwstr>http://vbaw.vba.va.gov/bl/21/advisory/CAVCDAD.htm</vt:lpwstr>
      </vt:variant>
      <vt:variant>
        <vt:lpwstr>bmm</vt:lpwstr>
      </vt:variant>
      <vt:variant>
        <vt:i4>4128870</vt:i4>
      </vt:variant>
      <vt:variant>
        <vt:i4>174</vt:i4>
      </vt:variant>
      <vt:variant>
        <vt:i4>0</vt:i4>
      </vt:variant>
      <vt:variant>
        <vt:i4>5</vt:i4>
      </vt:variant>
      <vt:variant>
        <vt:lpwstr>http://vbaw.vba.va.gov/bl/21/advisory/CAVCDAD.htm</vt:lpwstr>
      </vt:variant>
      <vt:variant>
        <vt:lpwstr>bmk</vt:lpwstr>
      </vt:variant>
      <vt:variant>
        <vt:i4>4128870</vt:i4>
      </vt:variant>
      <vt:variant>
        <vt:i4>171</vt:i4>
      </vt:variant>
      <vt:variant>
        <vt:i4>0</vt:i4>
      </vt:variant>
      <vt:variant>
        <vt:i4>5</vt:i4>
      </vt:variant>
      <vt:variant>
        <vt:lpwstr>http://vbaw.vba.va.gov/bl/21/advisory/CAVCDAD.htm</vt:lpwstr>
      </vt:variant>
      <vt:variant>
        <vt:lpwstr>bmd</vt:lpwstr>
      </vt:variant>
      <vt:variant>
        <vt:i4>2424900</vt:i4>
      </vt:variant>
      <vt:variant>
        <vt:i4>168</vt:i4>
      </vt:variant>
      <vt:variant>
        <vt:i4>0</vt:i4>
      </vt:variant>
      <vt:variant>
        <vt:i4>5</vt:i4>
      </vt:variant>
      <vt:variant>
        <vt:lpwstr>http://www.ecfr.gov/cgi-bin/text-idx?SID=e05a20cdd9805601c9123df74a4fa27d&amp;mc=true&amp;node=se38.1.3_1159&amp;rgn=div8</vt:lpwstr>
      </vt:variant>
      <vt:variant>
        <vt:lpwstr/>
      </vt:variant>
      <vt:variant>
        <vt:i4>4128870</vt:i4>
      </vt:variant>
      <vt:variant>
        <vt:i4>165</vt:i4>
      </vt:variant>
      <vt:variant>
        <vt:i4>0</vt:i4>
      </vt:variant>
      <vt:variant>
        <vt:i4>5</vt:i4>
      </vt:variant>
      <vt:variant>
        <vt:lpwstr>http://vbaw.vba.va.gov/bl/21/advisory/CAVCDAD.htm</vt:lpwstr>
      </vt:variant>
      <vt:variant>
        <vt:lpwstr>bmb</vt:lpwstr>
      </vt:variant>
      <vt:variant>
        <vt:i4>4128870</vt:i4>
      </vt:variant>
      <vt:variant>
        <vt:i4>162</vt:i4>
      </vt:variant>
      <vt:variant>
        <vt:i4>0</vt:i4>
      </vt:variant>
      <vt:variant>
        <vt:i4>5</vt:i4>
      </vt:variant>
      <vt:variant>
        <vt:lpwstr>http://vbaw.vba.va.gov/bl/21/Advisory/CAVCDAD.htm</vt:lpwstr>
      </vt:variant>
      <vt:variant>
        <vt:lpwstr>bmw</vt:lpwstr>
      </vt:variant>
      <vt:variant>
        <vt:i4>4128870</vt:i4>
      </vt:variant>
      <vt:variant>
        <vt:i4>159</vt:i4>
      </vt:variant>
      <vt:variant>
        <vt:i4>0</vt:i4>
      </vt:variant>
      <vt:variant>
        <vt:i4>5</vt:i4>
      </vt:variant>
      <vt:variant>
        <vt:lpwstr>http://vbaw.vba.va.gov/bl/21/advisory/CAVCDAD.htm</vt:lpwstr>
      </vt:variant>
      <vt:variant>
        <vt:lpwstr>bmb</vt:lpwstr>
      </vt:variant>
      <vt:variant>
        <vt:i4>6881330</vt:i4>
      </vt:variant>
      <vt:variant>
        <vt:i4>156</vt:i4>
      </vt:variant>
      <vt:variant>
        <vt:i4>0</vt:i4>
      </vt:variant>
      <vt:variant>
        <vt:i4>5</vt:i4>
      </vt:variant>
      <vt:variant>
        <vt:lpwstr>https://www.law.cornell.edu/uscode/text/38/1154</vt:lpwstr>
      </vt:variant>
      <vt:variant>
        <vt:lpwstr/>
      </vt:variant>
      <vt:variant>
        <vt:i4>4128870</vt:i4>
      </vt:variant>
      <vt:variant>
        <vt:i4>153</vt:i4>
      </vt:variant>
      <vt:variant>
        <vt:i4>0</vt:i4>
      </vt:variant>
      <vt:variant>
        <vt:i4>5</vt:i4>
      </vt:variant>
      <vt:variant>
        <vt:lpwstr>http://vbaw.vba.va.gov/bl/21/Advisory/CAVCDAD.htm</vt:lpwstr>
      </vt:variant>
      <vt:variant>
        <vt:lpwstr>bmr</vt:lpwstr>
      </vt:variant>
      <vt:variant>
        <vt:i4>4587640</vt:i4>
      </vt:variant>
      <vt:variant>
        <vt:i4>150</vt:i4>
      </vt:variant>
      <vt:variant>
        <vt:i4>0</vt:i4>
      </vt:variant>
      <vt:variant>
        <vt:i4>5</vt:i4>
      </vt:variant>
      <vt:variant>
        <vt:lpwstr>http://www.ecfr.gov/cgi-bin/text-idx?SID=c0d5f5b8803a8ae8de09949fa6c869e5&amp;mc=true&amp;node=se38.1.4_12&amp;rgn=div8</vt:lpwstr>
      </vt:variant>
      <vt:variant>
        <vt:lpwstr/>
      </vt:variant>
      <vt:variant>
        <vt:i4>589825</vt:i4>
      </vt:variant>
      <vt:variant>
        <vt:i4>147</vt:i4>
      </vt:variant>
      <vt:variant>
        <vt:i4>0</vt:i4>
      </vt:variant>
      <vt:variant>
        <vt:i4>5</vt:i4>
      </vt:variant>
      <vt:variant>
        <vt:lpwstr>https://www.law.cornell.edu/uscode/text/38/5103A</vt:lpwstr>
      </vt:variant>
      <vt:variant>
        <vt:lpwstr/>
      </vt:variant>
      <vt:variant>
        <vt:i4>4128870</vt:i4>
      </vt:variant>
      <vt:variant>
        <vt:i4>144</vt:i4>
      </vt:variant>
      <vt:variant>
        <vt:i4>0</vt:i4>
      </vt:variant>
      <vt:variant>
        <vt:i4>5</vt:i4>
      </vt:variant>
      <vt:variant>
        <vt:lpwstr>http://vbaw.vba.va.gov/bl/21/Advisory/CAVCDAD.htm</vt:lpwstr>
      </vt:variant>
      <vt:variant>
        <vt:lpwstr>bmc</vt:lpwstr>
      </vt:variant>
      <vt:variant>
        <vt:i4>4128870</vt:i4>
      </vt:variant>
      <vt:variant>
        <vt:i4>141</vt:i4>
      </vt:variant>
      <vt:variant>
        <vt:i4>0</vt:i4>
      </vt:variant>
      <vt:variant>
        <vt:i4>5</vt:i4>
      </vt:variant>
      <vt:variant>
        <vt:lpwstr>http://vbaw.vba.va.gov/bl/21/Advisory/CAVCDAD.htm</vt:lpwstr>
      </vt:variant>
      <vt:variant>
        <vt:lpwstr>bmc</vt:lpwstr>
      </vt:variant>
      <vt:variant>
        <vt:i4>4128870</vt:i4>
      </vt:variant>
      <vt:variant>
        <vt:i4>138</vt:i4>
      </vt:variant>
      <vt:variant>
        <vt:i4>0</vt:i4>
      </vt:variant>
      <vt:variant>
        <vt:i4>5</vt:i4>
      </vt:variant>
      <vt:variant>
        <vt:lpwstr>http://vbaw.vba.va.gov/bl/21/Advisory/CAVCDAD.htm</vt:lpwstr>
      </vt:variant>
      <vt:variant>
        <vt:lpwstr>bmb</vt:lpwstr>
      </vt:variant>
      <vt:variant>
        <vt:i4>4128870</vt:i4>
      </vt:variant>
      <vt:variant>
        <vt:i4>135</vt:i4>
      </vt:variant>
      <vt:variant>
        <vt:i4>0</vt:i4>
      </vt:variant>
      <vt:variant>
        <vt:i4>5</vt:i4>
      </vt:variant>
      <vt:variant>
        <vt:lpwstr>http://vbaw.vba.va.gov/bl/21/Advisory/CAVCDAD.htm</vt:lpwstr>
      </vt:variant>
      <vt:variant>
        <vt:lpwstr>bmw</vt:lpwstr>
      </vt:variant>
      <vt:variant>
        <vt:i4>8126503</vt:i4>
      </vt:variant>
      <vt:variant>
        <vt:i4>132</vt:i4>
      </vt:variant>
      <vt:variant>
        <vt:i4>0</vt:i4>
      </vt:variant>
      <vt:variant>
        <vt:i4>5</vt:i4>
      </vt:variant>
      <vt:variant>
        <vt:lpwstr>http://vbaw.vba.va.gov/bl/21/Advisory/DADS/2009dads/Douglas.doc</vt:lpwstr>
      </vt:variant>
      <vt:variant>
        <vt:lpwstr/>
      </vt:variant>
      <vt:variant>
        <vt:i4>4128870</vt:i4>
      </vt:variant>
      <vt:variant>
        <vt:i4>129</vt:i4>
      </vt:variant>
      <vt:variant>
        <vt:i4>0</vt:i4>
      </vt:variant>
      <vt:variant>
        <vt:i4>5</vt:i4>
      </vt:variant>
      <vt:variant>
        <vt:lpwstr>http://vbaw.vba.va.gov/bl/21/advisory/CAVCDAD.htm</vt:lpwstr>
      </vt:variant>
      <vt:variant>
        <vt:lpwstr>bmc</vt:lpwstr>
      </vt:variant>
      <vt:variant>
        <vt:i4>4128870</vt:i4>
      </vt:variant>
      <vt:variant>
        <vt:i4>126</vt:i4>
      </vt:variant>
      <vt:variant>
        <vt:i4>0</vt:i4>
      </vt:variant>
      <vt:variant>
        <vt:i4>5</vt:i4>
      </vt:variant>
      <vt:variant>
        <vt:lpwstr>http://vbaw.vba.va.gov/bl/21/Advisory/CAVCDAD.htm</vt:lpwstr>
      </vt:variant>
      <vt:variant>
        <vt:lpwstr>bmr</vt:lpwstr>
      </vt:variant>
      <vt:variant>
        <vt:i4>4128870</vt:i4>
      </vt:variant>
      <vt:variant>
        <vt:i4>123</vt:i4>
      </vt:variant>
      <vt:variant>
        <vt:i4>0</vt:i4>
      </vt:variant>
      <vt:variant>
        <vt:i4>5</vt:i4>
      </vt:variant>
      <vt:variant>
        <vt:lpwstr>http://vbaw.vba.va.gov/bl/21/Advisory/CAVCDAD.htm</vt:lpwstr>
      </vt:variant>
      <vt:variant>
        <vt:lpwstr>bmb</vt:lpwstr>
      </vt:variant>
      <vt:variant>
        <vt:i4>4128870</vt:i4>
      </vt:variant>
      <vt:variant>
        <vt:i4>120</vt:i4>
      </vt:variant>
      <vt:variant>
        <vt:i4>0</vt:i4>
      </vt:variant>
      <vt:variant>
        <vt:i4>5</vt:i4>
      </vt:variant>
      <vt:variant>
        <vt:lpwstr>http://vbaw.vba.va.gov/bl/21/advisory/CAVCDAD.htm</vt:lpwstr>
      </vt:variant>
      <vt:variant>
        <vt:lpwstr>bmt</vt:lpwstr>
      </vt:variant>
      <vt:variant>
        <vt:i4>589825</vt:i4>
      </vt:variant>
      <vt:variant>
        <vt:i4>117</vt:i4>
      </vt:variant>
      <vt:variant>
        <vt:i4>0</vt:i4>
      </vt:variant>
      <vt:variant>
        <vt:i4>5</vt:i4>
      </vt:variant>
      <vt:variant>
        <vt:lpwstr>https://www.law.cornell.edu/uscode/text/38/5103A</vt:lpwstr>
      </vt:variant>
      <vt:variant>
        <vt:lpwstr/>
      </vt:variant>
      <vt:variant>
        <vt:i4>6226039</vt:i4>
      </vt:variant>
      <vt:variant>
        <vt:i4>114</vt:i4>
      </vt:variant>
      <vt:variant>
        <vt:i4>0</vt:i4>
      </vt:variant>
      <vt:variant>
        <vt:i4>5</vt:i4>
      </vt:variant>
      <vt:variant>
        <vt:lpwstr>http://www.uscourts.cavc.gov/documents/McLendon_04-0185.pdf</vt:lpwstr>
      </vt:variant>
      <vt:variant>
        <vt:lpwstr/>
      </vt:variant>
      <vt:variant>
        <vt:i4>2687021</vt:i4>
      </vt:variant>
      <vt:variant>
        <vt:i4>111</vt:i4>
      </vt:variant>
      <vt:variant>
        <vt:i4>0</vt:i4>
      </vt:variant>
      <vt:variant>
        <vt:i4>5</vt:i4>
      </vt:variant>
      <vt:variant>
        <vt:lpwstr>http://cafc.uscourts.gov/images/stories/opinions-orders/05-7174.pdf</vt:lpwstr>
      </vt:variant>
      <vt:variant>
        <vt:lpwstr/>
      </vt:variant>
      <vt:variant>
        <vt:i4>6881330</vt:i4>
      </vt:variant>
      <vt:variant>
        <vt:i4>108</vt:i4>
      </vt:variant>
      <vt:variant>
        <vt:i4>0</vt:i4>
      </vt:variant>
      <vt:variant>
        <vt:i4>5</vt:i4>
      </vt:variant>
      <vt:variant>
        <vt:lpwstr>https://www.law.cornell.edu/uscode/text/38/1154</vt:lpwstr>
      </vt:variant>
      <vt:variant>
        <vt:lpwstr/>
      </vt:variant>
      <vt:variant>
        <vt:i4>4128870</vt:i4>
      </vt:variant>
      <vt:variant>
        <vt:i4>105</vt:i4>
      </vt:variant>
      <vt:variant>
        <vt:i4>0</vt:i4>
      </vt:variant>
      <vt:variant>
        <vt:i4>5</vt:i4>
      </vt:variant>
      <vt:variant>
        <vt:lpwstr>http://vbaw.vba.va.gov/bl/21/advisory/CAVCDAD.htm</vt:lpwstr>
      </vt:variant>
      <vt:variant>
        <vt:lpwstr>bmm</vt:lpwstr>
      </vt:variant>
      <vt:variant>
        <vt:i4>4128870</vt:i4>
      </vt:variant>
      <vt:variant>
        <vt:i4>102</vt:i4>
      </vt:variant>
      <vt:variant>
        <vt:i4>0</vt:i4>
      </vt:variant>
      <vt:variant>
        <vt:i4>5</vt:i4>
      </vt:variant>
      <vt:variant>
        <vt:lpwstr>http://vbaw.vba.va.gov/bl/21/advisory/CAVCDAD.htm</vt:lpwstr>
      </vt:variant>
      <vt:variant>
        <vt:lpwstr>bmm</vt:lpwstr>
      </vt:variant>
      <vt:variant>
        <vt:i4>6946874</vt:i4>
      </vt:variant>
      <vt:variant>
        <vt:i4>99</vt:i4>
      </vt:variant>
      <vt:variant>
        <vt:i4>0</vt:i4>
      </vt:variant>
      <vt:variant>
        <vt:i4>5</vt:i4>
      </vt:variant>
      <vt:variant>
        <vt:lpwstr>http://cafc.uscourts.gov/images/stories/opinions-orders/12-7046.Opinion.9-26-2013.1.PDF</vt:lpwstr>
      </vt:variant>
      <vt:variant>
        <vt:lpwstr/>
      </vt:variant>
      <vt:variant>
        <vt:i4>6881331</vt:i4>
      </vt:variant>
      <vt:variant>
        <vt:i4>96</vt:i4>
      </vt:variant>
      <vt:variant>
        <vt:i4>0</vt:i4>
      </vt:variant>
      <vt:variant>
        <vt:i4>5</vt:i4>
      </vt:variant>
      <vt:variant>
        <vt:lpwstr>https://www.law.cornell.edu/uscode/text/38/105</vt:lpwstr>
      </vt:variant>
      <vt:variant>
        <vt:lpwstr/>
      </vt:variant>
      <vt:variant>
        <vt:i4>4128870</vt:i4>
      </vt:variant>
      <vt:variant>
        <vt:i4>93</vt:i4>
      </vt:variant>
      <vt:variant>
        <vt:i4>0</vt:i4>
      </vt:variant>
      <vt:variant>
        <vt:i4>5</vt:i4>
      </vt:variant>
      <vt:variant>
        <vt:lpwstr>http://vbaw.vba.va.gov/bl/21/Advisory/CAVCDAD.htm</vt:lpwstr>
      </vt:variant>
      <vt:variant>
        <vt:lpwstr>bmf</vt:lpwstr>
      </vt:variant>
      <vt:variant>
        <vt:i4>2949196</vt:i4>
      </vt:variant>
      <vt:variant>
        <vt:i4>90</vt:i4>
      </vt:variant>
      <vt:variant>
        <vt:i4>0</vt:i4>
      </vt:variant>
      <vt:variant>
        <vt:i4>5</vt:i4>
      </vt:variant>
      <vt:variant>
        <vt:lpwstr>http://www.ecfr.gov/cgi-bin/text-idx?SID=a546aa9f7d689727ad9552d053231594&amp;mc=true&amp;node=se38.1.3_1159&amp;rgn=div8</vt:lpwstr>
      </vt:variant>
      <vt:variant>
        <vt:lpwstr/>
      </vt:variant>
      <vt:variant>
        <vt:i4>2949196</vt:i4>
      </vt:variant>
      <vt:variant>
        <vt:i4>87</vt:i4>
      </vt:variant>
      <vt:variant>
        <vt:i4>0</vt:i4>
      </vt:variant>
      <vt:variant>
        <vt:i4>5</vt:i4>
      </vt:variant>
      <vt:variant>
        <vt:lpwstr>http://www.ecfr.gov/cgi-bin/text-idx?SID=a546aa9f7d689727ad9552d053231594&amp;mc=true&amp;node=se38.1.3_1159&amp;rgn=div8</vt:lpwstr>
      </vt:variant>
      <vt:variant>
        <vt:lpwstr/>
      </vt:variant>
      <vt:variant>
        <vt:i4>4128870</vt:i4>
      </vt:variant>
      <vt:variant>
        <vt:i4>84</vt:i4>
      </vt:variant>
      <vt:variant>
        <vt:i4>0</vt:i4>
      </vt:variant>
      <vt:variant>
        <vt:i4>5</vt:i4>
      </vt:variant>
      <vt:variant>
        <vt:lpwstr>http://vbaw.vba.va.gov/bl/21/advisory/CAVCDAD.htm</vt:lpwstr>
      </vt:variant>
      <vt:variant>
        <vt:lpwstr>bmc</vt:lpwstr>
      </vt:variant>
      <vt:variant>
        <vt:i4>7143474</vt:i4>
      </vt:variant>
      <vt:variant>
        <vt:i4>81</vt:i4>
      </vt:variant>
      <vt:variant>
        <vt:i4>0</vt:i4>
      </vt:variant>
      <vt:variant>
        <vt:i4>5</vt:i4>
      </vt:variant>
      <vt:variant>
        <vt:lpwstr>https://www.law.cornell.edu/uscode/text/38/1112</vt:lpwstr>
      </vt:variant>
      <vt:variant>
        <vt:lpwstr/>
      </vt:variant>
      <vt:variant>
        <vt:i4>6881330</vt:i4>
      </vt:variant>
      <vt:variant>
        <vt:i4>78</vt:i4>
      </vt:variant>
      <vt:variant>
        <vt:i4>0</vt:i4>
      </vt:variant>
      <vt:variant>
        <vt:i4>5</vt:i4>
      </vt:variant>
      <vt:variant>
        <vt:lpwstr>https://www.law.cornell.edu/uscode/text/38/1153</vt:lpwstr>
      </vt:variant>
      <vt:variant>
        <vt:lpwstr/>
      </vt:variant>
      <vt:variant>
        <vt:i4>7143474</vt:i4>
      </vt:variant>
      <vt:variant>
        <vt:i4>75</vt:i4>
      </vt:variant>
      <vt:variant>
        <vt:i4>0</vt:i4>
      </vt:variant>
      <vt:variant>
        <vt:i4>5</vt:i4>
      </vt:variant>
      <vt:variant>
        <vt:lpwstr>https://www.law.cornell.edu/uscode/text/38/1111</vt:lpwstr>
      </vt:variant>
      <vt:variant>
        <vt:lpwstr/>
      </vt:variant>
      <vt:variant>
        <vt:i4>4128870</vt:i4>
      </vt:variant>
      <vt:variant>
        <vt:i4>72</vt:i4>
      </vt:variant>
      <vt:variant>
        <vt:i4>0</vt:i4>
      </vt:variant>
      <vt:variant>
        <vt:i4>5</vt:i4>
      </vt:variant>
      <vt:variant>
        <vt:lpwstr>http://vbaw.vba.va.gov/bl/21/advisory/CAVCDAD.htm</vt:lpwstr>
      </vt:variant>
      <vt:variant>
        <vt:lpwstr>bmc</vt:lpwstr>
      </vt:variant>
      <vt:variant>
        <vt:i4>4718624</vt:i4>
      </vt:variant>
      <vt:variant>
        <vt:i4>69</vt:i4>
      </vt:variant>
      <vt:variant>
        <vt:i4>0</vt:i4>
      </vt:variant>
      <vt:variant>
        <vt:i4>5</vt:i4>
      </vt:variant>
      <vt:variant>
        <vt:lpwstr>http://www.ecfr.gov/cgi-bin/text-idx?SID=ea513727c052ceaff09990d59f484fe1&amp;mc=true&amp;node=se38.1.4_17&amp;rgn=div8</vt:lpwstr>
      </vt:variant>
      <vt:variant>
        <vt:lpwstr/>
      </vt:variant>
      <vt:variant>
        <vt:i4>4718624</vt:i4>
      </vt:variant>
      <vt:variant>
        <vt:i4>66</vt:i4>
      </vt:variant>
      <vt:variant>
        <vt:i4>0</vt:i4>
      </vt:variant>
      <vt:variant>
        <vt:i4>5</vt:i4>
      </vt:variant>
      <vt:variant>
        <vt:lpwstr>http://www.ecfr.gov/cgi-bin/text-idx?SID=ea513727c052ceaff09990d59f484fe1&amp;mc=true&amp;node=se38.1.4_17&amp;rgn=div8</vt:lpwstr>
      </vt:variant>
      <vt:variant>
        <vt:lpwstr/>
      </vt:variant>
      <vt:variant>
        <vt:i4>4718624</vt:i4>
      </vt:variant>
      <vt:variant>
        <vt:i4>63</vt:i4>
      </vt:variant>
      <vt:variant>
        <vt:i4>0</vt:i4>
      </vt:variant>
      <vt:variant>
        <vt:i4>5</vt:i4>
      </vt:variant>
      <vt:variant>
        <vt:lpwstr>http://www.ecfr.gov/cgi-bin/text-idx?SID=ea513727c052ceaff09990d59f484fe1&amp;mc=true&amp;node=se38.1.4_17&amp;rgn=div8</vt:lpwstr>
      </vt:variant>
      <vt:variant>
        <vt:lpwstr/>
      </vt:variant>
      <vt:variant>
        <vt:i4>7208970</vt:i4>
      </vt:variant>
      <vt:variant>
        <vt:i4>60</vt:i4>
      </vt:variant>
      <vt:variant>
        <vt:i4>0</vt:i4>
      </vt:variant>
      <vt:variant>
        <vt:i4>5</vt:i4>
      </vt:variant>
      <vt:variant>
        <vt:lpwstr>http://www.ecfr.gov/cgi-bin/text-idx?SID=ea513727c052ceaff09990d59f484fe1&amp;mc=true&amp;node=se38.1.4_121&amp;rgn=div8</vt:lpwstr>
      </vt:variant>
      <vt:variant>
        <vt:lpwstr/>
      </vt:variant>
      <vt:variant>
        <vt:i4>3080270</vt:i4>
      </vt:variant>
      <vt:variant>
        <vt:i4>57</vt:i4>
      </vt:variant>
      <vt:variant>
        <vt:i4>0</vt:i4>
      </vt:variant>
      <vt:variant>
        <vt:i4>5</vt:i4>
      </vt:variant>
      <vt:variant>
        <vt:lpwstr>http://www.ecfr.gov/cgi-bin/text-idx?SID=451dcd74588d4aa8acd200cd3853dd5c&amp;mc=true&amp;node=se38.1.3_1102&amp;rgn=div8</vt:lpwstr>
      </vt:variant>
      <vt:variant>
        <vt:lpwstr/>
      </vt:variant>
      <vt:variant>
        <vt:i4>2686984</vt:i4>
      </vt:variant>
      <vt:variant>
        <vt:i4>54</vt:i4>
      </vt:variant>
      <vt:variant>
        <vt:i4>0</vt:i4>
      </vt:variant>
      <vt:variant>
        <vt:i4>5</vt:i4>
      </vt:variant>
      <vt:variant>
        <vt:lpwstr>http://vbaw.vba.va.gov/bl/21/M21-1MR/pt03/sp04/ch05/pt03_sp04_ch06_secB.xml</vt:lpwstr>
      </vt:variant>
      <vt:variant>
        <vt:lpwstr>III.iv.6.B</vt:lpwstr>
      </vt:variant>
      <vt:variant>
        <vt:i4>4980768</vt:i4>
      </vt:variant>
      <vt:variant>
        <vt:i4>51</vt:i4>
      </vt:variant>
      <vt:variant>
        <vt:i4>0</vt:i4>
      </vt:variant>
      <vt:variant>
        <vt:i4>5</vt:i4>
      </vt:variant>
      <vt:variant>
        <vt:lpwstr>http://www.ecfr.gov/cgi-bin/text-idx?SID=ea513727c052ceaff09990d59f484fe1&amp;mc=true&amp;node=se38.1.4_13&amp;rgn=div8</vt:lpwstr>
      </vt:variant>
      <vt:variant>
        <vt:lpwstr/>
      </vt:variant>
      <vt:variant>
        <vt:i4>8126487</vt:i4>
      </vt:variant>
      <vt:variant>
        <vt:i4>48</vt:i4>
      </vt:variant>
      <vt:variant>
        <vt:i4>0</vt:i4>
      </vt:variant>
      <vt:variant>
        <vt:i4>5</vt:i4>
      </vt:variant>
      <vt:variant>
        <vt:lpwstr>http://www.ecfr.gov/cgi-bin/text-idx?SID=ea513727c052ceaff09990d59f484fe1&amp;mc=true&amp;node=se38.1.3_1102&amp;rgn=div8</vt:lpwstr>
      </vt:variant>
      <vt:variant>
        <vt:lpwstr/>
      </vt:variant>
      <vt:variant>
        <vt:i4>4128870</vt:i4>
      </vt:variant>
      <vt:variant>
        <vt:i4>45</vt:i4>
      </vt:variant>
      <vt:variant>
        <vt:i4>0</vt:i4>
      </vt:variant>
      <vt:variant>
        <vt:i4>5</vt:i4>
      </vt:variant>
      <vt:variant>
        <vt:lpwstr>http://vbaw.vba.va.gov/bl/21/Advisory/CAVCDAD.htm</vt:lpwstr>
      </vt:variant>
      <vt:variant>
        <vt:lpwstr>bmg</vt:lpwstr>
      </vt:variant>
      <vt:variant>
        <vt:i4>196686</vt:i4>
      </vt:variant>
      <vt:variant>
        <vt:i4>42</vt:i4>
      </vt:variant>
      <vt:variant>
        <vt:i4>0</vt:i4>
      </vt:variant>
      <vt:variant>
        <vt:i4>5</vt:i4>
      </vt:variant>
      <vt:variant>
        <vt:lpwstr>http://www.va.gov/ogc/opinions/1992precedentopinions.asp</vt:lpwstr>
      </vt:variant>
      <vt:variant>
        <vt:lpwstr/>
      </vt:variant>
      <vt:variant>
        <vt:i4>2949138</vt:i4>
      </vt:variant>
      <vt:variant>
        <vt:i4>39</vt:i4>
      </vt:variant>
      <vt:variant>
        <vt:i4>0</vt:i4>
      </vt:variant>
      <vt:variant>
        <vt:i4>5</vt:i4>
      </vt:variant>
      <vt:variant>
        <vt:lpwstr>http://www.ecfr.gov/cgi-bin/text-idx?SID=146f7c1f9831a1627289cc33bb649ebe&amp;mc=true&amp;node=se38.1.3_1114&amp;rgn=div8</vt:lpwstr>
      </vt:variant>
      <vt:variant>
        <vt:lpwstr/>
      </vt:variant>
      <vt:variant>
        <vt:i4>6881330</vt:i4>
      </vt:variant>
      <vt:variant>
        <vt:i4>36</vt:i4>
      </vt:variant>
      <vt:variant>
        <vt:i4>0</vt:i4>
      </vt:variant>
      <vt:variant>
        <vt:i4>5</vt:i4>
      </vt:variant>
      <vt:variant>
        <vt:lpwstr>https://www.law.cornell.edu/uscode/text/38/5110</vt:lpwstr>
      </vt:variant>
      <vt:variant>
        <vt:lpwstr/>
      </vt:variant>
      <vt:variant>
        <vt:i4>4128870</vt:i4>
      </vt:variant>
      <vt:variant>
        <vt:i4>33</vt:i4>
      </vt:variant>
      <vt:variant>
        <vt:i4>0</vt:i4>
      </vt:variant>
      <vt:variant>
        <vt:i4>5</vt:i4>
      </vt:variant>
      <vt:variant>
        <vt:lpwstr>http://vbaw.vba.va.gov/bl/21/advisory/CAVCDAD.htm</vt:lpwstr>
      </vt:variant>
      <vt:variant>
        <vt:lpwstr>bmm</vt:lpwstr>
      </vt:variant>
      <vt:variant>
        <vt:i4>6881330</vt:i4>
      </vt:variant>
      <vt:variant>
        <vt:i4>30</vt:i4>
      </vt:variant>
      <vt:variant>
        <vt:i4>0</vt:i4>
      </vt:variant>
      <vt:variant>
        <vt:i4>5</vt:i4>
      </vt:variant>
      <vt:variant>
        <vt:lpwstr>https://www.law.cornell.edu/uscode/text/38/1155</vt:lpwstr>
      </vt:variant>
      <vt:variant>
        <vt:lpwstr/>
      </vt:variant>
      <vt:variant>
        <vt:i4>196686</vt:i4>
      </vt:variant>
      <vt:variant>
        <vt:i4>27</vt:i4>
      </vt:variant>
      <vt:variant>
        <vt:i4>0</vt:i4>
      </vt:variant>
      <vt:variant>
        <vt:i4>5</vt:i4>
      </vt:variant>
      <vt:variant>
        <vt:lpwstr>http://www.va.gov/ogc/opinions/1992precedentopinions.asp</vt:lpwstr>
      </vt:variant>
      <vt:variant>
        <vt:lpwstr/>
      </vt:variant>
      <vt:variant>
        <vt:i4>7274500</vt:i4>
      </vt:variant>
      <vt:variant>
        <vt:i4>24</vt:i4>
      </vt:variant>
      <vt:variant>
        <vt:i4>0</vt:i4>
      </vt:variant>
      <vt:variant>
        <vt:i4>5</vt:i4>
      </vt:variant>
      <vt:variant>
        <vt:lpwstr>http://www.ecfr.gov/cgi-bin/text-idx?SID=530e43d362df4d6c8747bcfa585b14f1&amp;mc=true&amp;node=se38.1.4_123&amp;rgn=div8</vt:lpwstr>
      </vt:variant>
      <vt:variant>
        <vt:lpwstr/>
      </vt:variant>
      <vt:variant>
        <vt:i4>3145776</vt:i4>
      </vt:variant>
      <vt:variant>
        <vt:i4>21</vt:i4>
      </vt:variant>
      <vt:variant>
        <vt:i4>0</vt:i4>
      </vt:variant>
      <vt:variant>
        <vt:i4>5</vt:i4>
      </vt:variant>
      <vt:variant>
        <vt:lpwstr>http://vbaw.vba.va.gov/VetsNet/Claims_Docs/webhelp/Claim_Development1.htm</vt:lpwstr>
      </vt:variant>
      <vt:variant>
        <vt:lpwstr/>
      </vt:variant>
      <vt:variant>
        <vt:i4>2621546</vt:i4>
      </vt:variant>
      <vt:variant>
        <vt:i4>18</vt:i4>
      </vt:variant>
      <vt:variant>
        <vt:i4>0</vt:i4>
      </vt:variant>
      <vt:variant>
        <vt:i4>5</vt:i4>
      </vt:variant>
      <vt:variant>
        <vt:lpwstr>http://vbaw.vba.va.gov/VBMS/Resources_Technical_Information.asp</vt:lpwstr>
      </vt:variant>
      <vt:variant>
        <vt:lpwstr/>
      </vt:variant>
      <vt:variant>
        <vt:i4>4128870</vt:i4>
      </vt:variant>
      <vt:variant>
        <vt:i4>15</vt:i4>
      </vt:variant>
      <vt:variant>
        <vt:i4>0</vt:i4>
      </vt:variant>
      <vt:variant>
        <vt:i4>5</vt:i4>
      </vt:variant>
      <vt:variant>
        <vt:lpwstr>http://vbaw.vba.va.gov/bl/21/advisory/CAVCDAD.htm</vt:lpwstr>
      </vt:variant>
      <vt:variant>
        <vt:lpwstr>bmm</vt:lpwstr>
      </vt:variant>
      <vt:variant>
        <vt:i4>4128870</vt:i4>
      </vt:variant>
      <vt:variant>
        <vt:i4>12</vt:i4>
      </vt:variant>
      <vt:variant>
        <vt:i4>0</vt:i4>
      </vt:variant>
      <vt:variant>
        <vt:i4>5</vt:i4>
      </vt:variant>
      <vt:variant>
        <vt:lpwstr>http://vbaw.vba.va.gov/bl/21/Advisory/CAVCDAD.htm</vt:lpwstr>
      </vt:variant>
      <vt:variant>
        <vt:lpwstr>bmf</vt:lpwstr>
      </vt:variant>
      <vt:variant>
        <vt:i4>589894</vt:i4>
      </vt:variant>
      <vt:variant>
        <vt:i4>9</vt:i4>
      </vt:variant>
      <vt:variant>
        <vt:i4>0</vt:i4>
      </vt:variant>
      <vt:variant>
        <vt:i4>5</vt:i4>
      </vt:variant>
      <vt:variant>
        <vt:lpwstr>http://www.va.gov/ogc/opinions/2003precedentopinions.asp</vt:lpwstr>
      </vt:variant>
      <vt:variant>
        <vt:lpwstr/>
      </vt:variant>
      <vt:variant>
        <vt:i4>2424911</vt:i4>
      </vt:variant>
      <vt:variant>
        <vt:i4>6</vt:i4>
      </vt:variant>
      <vt:variant>
        <vt:i4>0</vt:i4>
      </vt:variant>
      <vt:variant>
        <vt:i4>5</vt:i4>
      </vt:variant>
      <vt:variant>
        <vt:lpwstr>http://www.ecfr.gov/cgi-bin/text-idx?SID=704391bf8839203461c283a9314ad491&amp;mc=true&amp;node=se38.1.3_1114&amp;rgn=div8</vt:lpwstr>
      </vt:variant>
      <vt:variant>
        <vt:lpwstr/>
      </vt:variant>
      <vt:variant>
        <vt:i4>6881330</vt:i4>
      </vt:variant>
      <vt:variant>
        <vt:i4>3</vt:i4>
      </vt:variant>
      <vt:variant>
        <vt:i4>0</vt:i4>
      </vt:variant>
      <vt:variant>
        <vt:i4>5</vt:i4>
      </vt:variant>
      <vt:variant>
        <vt:lpwstr>https://www.law.cornell.edu/uscode/text/38/5110</vt:lpwstr>
      </vt:variant>
      <vt:variant>
        <vt:lpwstr/>
      </vt:variant>
      <vt:variant>
        <vt:i4>196684</vt:i4>
      </vt:variant>
      <vt:variant>
        <vt:i4>0</vt:i4>
      </vt:variant>
      <vt:variant>
        <vt:i4>0</vt:i4>
      </vt:variant>
      <vt:variant>
        <vt:i4>5</vt:i4>
      </vt:variant>
      <vt:variant>
        <vt:lpwstr>http://www.va.gov/ogc/opinions/1990precedentopinions.asp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Evaluating Evidence and Making a Decision (U.S. Department of Veterans Affairs)</dc:title>
  <dc:subject>Evaluating Evidence and Making a Decision</dc:subject>
  <dc:creator>CAPKSALA</dc:creator>
  <cp:keywords>evaluating, evidence, admissibility, credibility, credible, competency, weight, persuasiveness, weighing, probative, value, development, non-adversarial, bias, testimony, medical, records, reports, examinations, lay, layperson, equipoise, reasonable, doubt, benefit,</cp:keywords>
  <dc:description>Topics pertaining to evaluating evidence and making a decision including competency, credibility and probative value, lay and medical evidence, considering testimony and requiring further development.</dc:description>
  <cp:lastModifiedBy>Kimberly Martin-Butler</cp:lastModifiedBy>
  <cp:revision>6</cp:revision>
  <cp:lastPrinted>2012-04-23T13:50:00Z</cp:lastPrinted>
  <dcterms:created xsi:type="dcterms:W3CDTF">2015-07-08T12:27:00Z</dcterms:created>
  <dcterms:modified xsi:type="dcterms:W3CDTF">2015-07-15T20:15:00Z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2003</vt:lpwstr>
  </property>
  <property fmtid="{D5CDD505-2E9C-101B-9397-08002B2CF9AE}" pid="3" name="DateReviewed">
    <vt:lpwstr>20120210</vt:lpwstr>
  </property>
  <property fmtid="{D5CDD505-2E9C-101B-9397-08002B2CF9AE}" pid="4" name="Language">
    <vt:lpwstr>en</vt:lpwstr>
  </property>
  <property fmtid="{D5CDD505-2E9C-101B-9397-08002B2CF9AE}" pid="5" name="Type">
    <vt:lpwstr>Manual</vt:lpwstr>
  </property>
  <property fmtid="{D5CDD505-2E9C-101B-9397-08002B2CF9AE}" pid="6" name="Creator">
    <vt:lpwstr>Department of Veterans Affairs, Veterans Benefit Administration, Compensation Service, Procedures</vt:lpwstr>
  </property>
  <property fmtid="{D5CDD505-2E9C-101B-9397-08002B2CF9AE}" pid="7" name="ContentTypeId">
    <vt:lpwstr>0x010100A3776AF772BF364D8E899CBB1EA8E540</vt:lpwstr>
  </property>
</Properties>
</file>